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837F" w14:textId="46860EE6" w:rsidR="00151A53" w:rsidRPr="00B20F2F" w:rsidRDefault="00D15F10" w:rsidP="00151A53">
      <w:pPr>
        <w:widowControl w:val="0"/>
        <w:autoSpaceDE w:val="0"/>
        <w:autoSpaceDN w:val="0"/>
        <w:adjustRightInd w:val="0"/>
        <w:jc w:val="both"/>
        <w:rPr>
          <w:rFonts w:ascii="Verdana" w:eastAsia="Times New Roman" w:hAnsi="Verdana"/>
          <w:sz w:val="20"/>
          <w:szCs w:val="20"/>
        </w:rPr>
      </w:pPr>
      <w:r>
        <w:rPr>
          <w:rFonts w:ascii="Verdana" w:eastAsia="Times New Roman" w:hAnsi="Verdana"/>
          <w:sz w:val="20"/>
          <w:szCs w:val="20"/>
        </w:rPr>
        <w:softHyphen/>
      </w:r>
      <w:r>
        <w:rPr>
          <w:rFonts w:ascii="Verdana" w:eastAsia="Times New Roman" w:hAnsi="Verdana"/>
          <w:sz w:val="20"/>
          <w:szCs w:val="20"/>
        </w:rPr>
        <w:softHyphen/>
      </w:r>
    </w:p>
    <w:p w14:paraId="4B525BC1" w14:textId="77777777" w:rsidR="00945E45" w:rsidRPr="00025927" w:rsidRDefault="00945E45" w:rsidP="00945E45">
      <w:pPr>
        <w:widowControl w:val="0"/>
        <w:autoSpaceDE w:val="0"/>
        <w:autoSpaceDN w:val="0"/>
        <w:adjustRightInd w:val="0"/>
        <w:jc w:val="center"/>
        <w:rPr>
          <w:rFonts w:ascii="Verdana" w:eastAsia="Times New Roman" w:hAnsi="Verdana"/>
          <w:b/>
          <w:sz w:val="20"/>
          <w:szCs w:val="20"/>
        </w:rPr>
      </w:pPr>
      <w:r w:rsidRPr="00025927">
        <w:rPr>
          <w:rFonts w:ascii="Verdana" w:eastAsia="Times New Roman" w:hAnsi="Verdana"/>
          <w:b/>
          <w:sz w:val="20"/>
          <w:szCs w:val="20"/>
        </w:rPr>
        <w:t>Mitigating the Risk of Child Sexual Abuse in Church Programs and Activities</w:t>
      </w:r>
    </w:p>
    <w:p w14:paraId="3196D2EE" w14:textId="77777777" w:rsidR="003539B7" w:rsidRDefault="003539B7" w:rsidP="003539B7">
      <w:pPr>
        <w:widowControl w:val="0"/>
        <w:autoSpaceDE w:val="0"/>
        <w:autoSpaceDN w:val="0"/>
        <w:adjustRightInd w:val="0"/>
        <w:jc w:val="center"/>
        <w:rPr>
          <w:rFonts w:ascii="Verdana" w:eastAsia="Arial" w:hAnsi="Verdana" w:cs="Arial"/>
          <w:b/>
          <w:color w:val="000000"/>
          <w:sz w:val="20"/>
          <w:szCs w:val="20"/>
        </w:rPr>
      </w:pPr>
    </w:p>
    <w:p w14:paraId="0226C9CF" w14:textId="2882B82B" w:rsidR="00151A53" w:rsidRDefault="0037271F" w:rsidP="0037271F">
      <w:pPr>
        <w:widowControl w:val="0"/>
        <w:jc w:val="center"/>
        <w:rPr>
          <w:rFonts w:ascii="Verdana" w:eastAsia="Arial" w:hAnsi="Verdana" w:cs="Arial"/>
          <w:b/>
          <w:color w:val="000000"/>
          <w:sz w:val="20"/>
          <w:szCs w:val="20"/>
        </w:rPr>
      </w:pPr>
      <w:r w:rsidRPr="00B20F2F">
        <w:rPr>
          <w:rFonts w:ascii="Verdana" w:eastAsia="Arial" w:hAnsi="Verdana" w:cs="Arial"/>
          <w:b/>
          <w:color w:val="000000"/>
          <w:sz w:val="20"/>
          <w:szCs w:val="20"/>
        </w:rPr>
        <w:t>by Richard Hammar</w:t>
      </w:r>
      <w:r w:rsidR="00AE3769">
        <w:rPr>
          <w:rFonts w:ascii="Verdana" w:eastAsia="Arial" w:hAnsi="Verdana" w:cs="Arial"/>
          <w:b/>
          <w:color w:val="000000"/>
          <w:sz w:val="20"/>
          <w:szCs w:val="20"/>
        </w:rPr>
        <w:t xml:space="preserve">, </w:t>
      </w:r>
      <w:proofErr w:type="spellStart"/>
      <w:r w:rsidR="00AE3769">
        <w:rPr>
          <w:rFonts w:ascii="Verdana" w:eastAsia="Arial" w:hAnsi="Verdana" w:cs="Arial"/>
          <w:b/>
          <w:color w:val="000000"/>
          <w:sz w:val="20"/>
          <w:szCs w:val="20"/>
        </w:rPr>
        <w:t>J.D</w:t>
      </w:r>
      <w:proofErr w:type="spellEnd"/>
      <w:r w:rsidR="00AE3769">
        <w:rPr>
          <w:rFonts w:ascii="Verdana" w:eastAsia="Arial" w:hAnsi="Verdana" w:cs="Arial"/>
          <w:b/>
          <w:color w:val="000000"/>
          <w:sz w:val="20"/>
          <w:szCs w:val="20"/>
        </w:rPr>
        <w:t>, LL.M., CPA</w:t>
      </w:r>
    </w:p>
    <w:p w14:paraId="2518B968" w14:textId="77777777" w:rsidR="0027026E" w:rsidRPr="00B20F2F" w:rsidRDefault="0027026E" w:rsidP="0037271F">
      <w:pPr>
        <w:widowControl w:val="0"/>
        <w:jc w:val="center"/>
        <w:rPr>
          <w:rFonts w:ascii="Verdana" w:eastAsia="Arial" w:hAnsi="Verdana" w:cs="Arial"/>
          <w:b/>
          <w:color w:val="000000"/>
          <w:sz w:val="20"/>
          <w:szCs w:val="20"/>
        </w:rPr>
      </w:pPr>
      <w:r>
        <w:rPr>
          <w:rFonts w:ascii="Verdana" w:eastAsia="Arial" w:hAnsi="Verdana" w:cs="Arial"/>
          <w:b/>
          <w:color w:val="000000"/>
          <w:sz w:val="20"/>
          <w:szCs w:val="20"/>
        </w:rPr>
        <w:t>Legal Counsel, The General Council of the Assemblies of God</w:t>
      </w:r>
    </w:p>
    <w:p w14:paraId="408D8EE5" w14:textId="77777777" w:rsidR="00225032" w:rsidRDefault="00225032" w:rsidP="00151A53">
      <w:pPr>
        <w:widowControl w:val="0"/>
        <w:rPr>
          <w:rFonts w:ascii="Verdana" w:eastAsia="Arial" w:hAnsi="Verdana" w:cs="Arial"/>
          <w:color w:val="000000"/>
          <w:sz w:val="20"/>
          <w:szCs w:val="20"/>
        </w:rPr>
      </w:pPr>
    </w:p>
    <w:p w14:paraId="194C6037" w14:textId="77777777" w:rsidR="00602B31" w:rsidRDefault="00602B31" w:rsidP="00602B31">
      <w:pPr>
        <w:widowControl w:val="0"/>
        <w:rPr>
          <w:rFonts w:ascii="Verdana" w:eastAsia="Arial" w:hAnsi="Verdana" w:cs="Arial"/>
          <w:color w:val="000000"/>
          <w:sz w:val="20"/>
          <w:szCs w:val="20"/>
        </w:rPr>
      </w:pPr>
    </w:p>
    <w:p w14:paraId="2213EC6F" w14:textId="77777777" w:rsidR="00602B31" w:rsidRDefault="00602B31" w:rsidP="00602B31">
      <w:pPr>
        <w:widowControl w:val="0"/>
        <w:rPr>
          <w:rFonts w:ascii="Verdana" w:eastAsia="Arial" w:hAnsi="Verdana" w:cs="Arial"/>
          <w:color w:val="000000"/>
          <w:sz w:val="20"/>
          <w:szCs w:val="20"/>
        </w:rPr>
      </w:pPr>
    </w:p>
    <w:p w14:paraId="7162189E" w14:textId="77777777" w:rsidR="00602B31" w:rsidRPr="00C66D50" w:rsidRDefault="00602B31" w:rsidP="00602B31">
      <w:pPr>
        <w:widowControl w:val="0"/>
        <w:jc w:val="center"/>
        <w:rPr>
          <w:rFonts w:ascii="Verdana" w:eastAsia="Arial" w:hAnsi="Verdana" w:cs="Arial"/>
          <w:i/>
          <w:iCs/>
          <w:color w:val="000000"/>
          <w:sz w:val="20"/>
          <w:szCs w:val="20"/>
        </w:rPr>
      </w:pPr>
      <w:r>
        <w:rPr>
          <w:rFonts w:ascii="Verdana" w:eastAsia="Arial" w:hAnsi="Verdana" w:cs="Arial"/>
          <w:i/>
          <w:iCs/>
          <w:color w:val="000000"/>
          <w:sz w:val="20"/>
          <w:szCs w:val="20"/>
        </w:rPr>
        <w:t>May 2021</w:t>
      </w:r>
    </w:p>
    <w:p w14:paraId="5B574B60" w14:textId="77777777" w:rsidR="00602B31" w:rsidRDefault="00602B31" w:rsidP="00602B31">
      <w:pPr>
        <w:widowControl w:val="0"/>
        <w:rPr>
          <w:rFonts w:ascii="Verdana" w:eastAsia="Arial" w:hAnsi="Verdana" w:cs="Arial"/>
          <w:color w:val="000000"/>
          <w:sz w:val="20"/>
          <w:szCs w:val="20"/>
        </w:rPr>
      </w:pPr>
    </w:p>
    <w:p w14:paraId="3EF383F5" w14:textId="77777777" w:rsidR="00602B31" w:rsidRDefault="00602B31" w:rsidP="00602B31">
      <w:pPr>
        <w:widowControl w:val="0"/>
        <w:rPr>
          <w:rFonts w:ascii="Verdana" w:eastAsia="Arial" w:hAnsi="Verdana" w:cs="Arial"/>
          <w:color w:val="000000"/>
          <w:sz w:val="20"/>
          <w:szCs w:val="20"/>
        </w:rPr>
      </w:pPr>
    </w:p>
    <w:p w14:paraId="1F1A1EEE" w14:textId="77777777" w:rsidR="00602B31" w:rsidRPr="00B20F2F" w:rsidRDefault="00602B31" w:rsidP="00602B31">
      <w:pPr>
        <w:widowControl w:val="0"/>
        <w:rPr>
          <w:rFonts w:ascii="Verdana" w:hAnsi="Verdana"/>
          <w:sz w:val="20"/>
          <w:szCs w:val="20"/>
        </w:rPr>
      </w:pPr>
      <w:r w:rsidRPr="00B20F2F">
        <w:rPr>
          <w:rFonts w:ascii="Verdana" w:eastAsia="Arial" w:hAnsi="Verdana" w:cs="Arial"/>
          <w:color w:val="000000"/>
          <w:sz w:val="20"/>
          <w:szCs w:val="20"/>
        </w:rPr>
        <w:t xml:space="preserve">The public revulsion at </w:t>
      </w:r>
      <w:r>
        <w:rPr>
          <w:rFonts w:ascii="Verdana" w:eastAsia="Arial" w:hAnsi="Verdana" w:cs="Arial"/>
          <w:color w:val="000000"/>
          <w:sz w:val="20"/>
          <w:szCs w:val="20"/>
        </w:rPr>
        <w:t xml:space="preserve">accounts </w:t>
      </w:r>
      <w:r w:rsidRPr="00B20F2F">
        <w:rPr>
          <w:rFonts w:ascii="Verdana" w:eastAsia="Arial" w:hAnsi="Verdana" w:cs="Arial"/>
          <w:color w:val="000000"/>
          <w:sz w:val="20"/>
          <w:szCs w:val="20"/>
        </w:rPr>
        <w:t xml:space="preserve">of </w:t>
      </w:r>
      <w:r>
        <w:rPr>
          <w:rFonts w:ascii="Verdana" w:eastAsia="Arial" w:hAnsi="Verdana" w:cs="Arial"/>
          <w:color w:val="000000"/>
          <w:sz w:val="20"/>
          <w:szCs w:val="20"/>
        </w:rPr>
        <w:t xml:space="preserve">sexual misconduct by clergy and lay church volunteers </w:t>
      </w:r>
      <w:r w:rsidRPr="00B20F2F">
        <w:rPr>
          <w:rFonts w:ascii="Verdana" w:eastAsia="Arial" w:hAnsi="Verdana" w:cs="Arial"/>
          <w:color w:val="000000"/>
          <w:sz w:val="20"/>
          <w:szCs w:val="20"/>
        </w:rPr>
        <w:t xml:space="preserve">has reached a new and increasingly palpable level. </w:t>
      </w:r>
      <w:r w:rsidRPr="00B20F2F">
        <w:rPr>
          <w:rFonts w:ascii="Verdana" w:hAnsi="Verdana"/>
          <w:sz w:val="20"/>
          <w:szCs w:val="20"/>
        </w:rPr>
        <w:t xml:space="preserve">The public is increasingly intolerant of the inadequate response by churches to incidents of </w:t>
      </w:r>
      <w:r>
        <w:rPr>
          <w:rFonts w:ascii="Verdana" w:hAnsi="Verdana"/>
          <w:sz w:val="20"/>
          <w:szCs w:val="20"/>
        </w:rPr>
        <w:t xml:space="preserve">child </w:t>
      </w:r>
      <w:r w:rsidRPr="00B20F2F">
        <w:rPr>
          <w:rFonts w:ascii="Verdana" w:hAnsi="Verdana"/>
          <w:sz w:val="20"/>
          <w:szCs w:val="20"/>
        </w:rPr>
        <w:t xml:space="preserve">sexual abuse. Church leaders need to review current policies and be prepared to take additional steps to protect minors. </w:t>
      </w:r>
    </w:p>
    <w:p w14:paraId="48214A88"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p>
    <w:p w14:paraId="4035147B"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 xml:space="preserve">There are many steps that churches can take to reduce the risk of </w:t>
      </w:r>
      <w:r>
        <w:rPr>
          <w:rFonts w:ascii="Verdana" w:eastAsia="Times New Roman" w:hAnsi="Verdana"/>
          <w:color w:val="000000" w:themeColor="text1"/>
          <w:sz w:val="20"/>
          <w:szCs w:val="20"/>
        </w:rPr>
        <w:t xml:space="preserve">child sexual abuse </w:t>
      </w:r>
      <w:r w:rsidRPr="00B20F2F">
        <w:rPr>
          <w:rFonts w:ascii="Verdana" w:eastAsia="Times New Roman" w:hAnsi="Verdana"/>
          <w:color w:val="000000" w:themeColor="text1"/>
          <w:sz w:val="20"/>
          <w:szCs w:val="20"/>
        </w:rPr>
        <w:t xml:space="preserve">on church premises and during church programs and activities. Here are </w:t>
      </w:r>
      <w:r>
        <w:rPr>
          <w:rFonts w:ascii="Verdana" w:eastAsia="Times New Roman" w:hAnsi="Verdana"/>
          <w:color w:val="000000" w:themeColor="text1"/>
          <w:sz w:val="20"/>
          <w:szCs w:val="20"/>
        </w:rPr>
        <w:t xml:space="preserve">14 </w:t>
      </w:r>
      <w:r w:rsidRPr="00B20F2F">
        <w:rPr>
          <w:rFonts w:ascii="Verdana" w:eastAsia="Times New Roman" w:hAnsi="Verdana"/>
          <w:color w:val="000000" w:themeColor="text1"/>
          <w:sz w:val="20"/>
          <w:szCs w:val="20"/>
        </w:rPr>
        <w:t xml:space="preserve">of them based on a comprehensive examination of </w:t>
      </w:r>
      <w:r>
        <w:rPr>
          <w:rFonts w:ascii="Verdana" w:eastAsia="Times New Roman" w:hAnsi="Verdana"/>
          <w:color w:val="000000" w:themeColor="text1"/>
          <w:sz w:val="20"/>
          <w:szCs w:val="20"/>
        </w:rPr>
        <w:t xml:space="preserve">all relevant </w:t>
      </w:r>
      <w:r w:rsidRPr="00B20F2F">
        <w:rPr>
          <w:rFonts w:ascii="Verdana" w:eastAsia="Times New Roman" w:hAnsi="Verdana"/>
          <w:color w:val="000000" w:themeColor="text1"/>
          <w:sz w:val="20"/>
          <w:szCs w:val="20"/>
        </w:rPr>
        <w:t xml:space="preserve">court rulings. </w:t>
      </w:r>
    </w:p>
    <w:p w14:paraId="4F5F7AB0"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p>
    <w:p w14:paraId="1CF2A122" w14:textId="77777777" w:rsidR="00602B31" w:rsidRPr="001E3362" w:rsidRDefault="00602B31" w:rsidP="00602B31">
      <w:pPr>
        <w:widowControl w:val="0"/>
        <w:numPr>
          <w:ilvl w:val="0"/>
          <w:numId w:val="6"/>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Interview.</w:t>
      </w:r>
      <w:r w:rsidRPr="00B20F2F">
        <w:rPr>
          <w:rFonts w:ascii="Verdana" w:eastAsia="Times New Roman" w:hAnsi="Verdana"/>
          <w:color w:val="000000" w:themeColor="text1"/>
          <w:sz w:val="20"/>
          <w:szCs w:val="20"/>
        </w:rPr>
        <w:t xml:space="preserve"> Interview all applicants for youth</w:t>
      </w:r>
      <w:r>
        <w:rPr>
          <w:rFonts w:ascii="Verdana" w:eastAsia="Times New Roman" w:hAnsi="Verdana"/>
          <w:color w:val="000000" w:themeColor="text1"/>
          <w:sz w:val="20"/>
          <w:szCs w:val="20"/>
        </w:rPr>
        <w:t xml:space="preserve"> and children’s ministry positions</w:t>
      </w:r>
      <w:r w:rsidRPr="00B20F2F">
        <w:rPr>
          <w:rFonts w:ascii="Verdana" w:eastAsia="Times New Roman" w:hAnsi="Verdana"/>
          <w:color w:val="000000" w:themeColor="text1"/>
          <w:sz w:val="20"/>
          <w:szCs w:val="20"/>
        </w:rPr>
        <w:t>. This applies to both paid employee and unpaid volunteer positions. Interviews provide the church with an opportunity to inquire into each applicant’s background and</w:t>
      </w:r>
      <w:r>
        <w:rPr>
          <w:rFonts w:ascii="Verdana" w:eastAsia="Times New Roman" w:hAnsi="Verdana"/>
          <w:color w:val="000000" w:themeColor="text1"/>
          <w:sz w:val="20"/>
          <w:szCs w:val="20"/>
        </w:rPr>
        <w:t xml:space="preserve"> assess each applicant’s </w:t>
      </w:r>
      <w:r w:rsidRPr="001E3362">
        <w:rPr>
          <w:rFonts w:ascii="Verdana" w:eastAsia="Times New Roman" w:hAnsi="Verdana"/>
          <w:color w:val="000000" w:themeColor="text1"/>
          <w:sz w:val="20"/>
          <w:szCs w:val="20"/>
        </w:rPr>
        <w:t>suitability for the position under consideration.</w:t>
      </w:r>
    </w:p>
    <w:p w14:paraId="231C5E1C" w14:textId="77777777" w:rsidR="00602B31" w:rsidRPr="00B20F2F" w:rsidRDefault="00602B31" w:rsidP="00602B31">
      <w:pPr>
        <w:widowControl w:val="0"/>
        <w:autoSpaceDE w:val="0"/>
        <w:autoSpaceDN w:val="0"/>
        <w:adjustRightInd w:val="0"/>
        <w:ind w:left="1080"/>
        <w:rPr>
          <w:rFonts w:ascii="Verdana" w:eastAsia="Times New Roman" w:hAnsi="Verdana"/>
          <w:b/>
          <w:color w:val="000000" w:themeColor="text1"/>
          <w:sz w:val="20"/>
          <w:szCs w:val="20"/>
        </w:rPr>
      </w:pPr>
    </w:p>
    <w:p w14:paraId="125319F6" w14:textId="77777777" w:rsidR="00602B31" w:rsidRPr="00B20F2F" w:rsidRDefault="00602B31" w:rsidP="00602B31">
      <w:pPr>
        <w:widowControl w:val="0"/>
        <w:numPr>
          <w:ilvl w:val="0"/>
          <w:numId w:val="6"/>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A written application.</w:t>
      </w:r>
      <w:r w:rsidRPr="00B20F2F">
        <w:rPr>
          <w:rFonts w:ascii="Verdana" w:eastAsia="Times New Roman" w:hAnsi="Verdana"/>
          <w:color w:val="000000" w:themeColor="text1"/>
          <w:sz w:val="20"/>
          <w:szCs w:val="20"/>
        </w:rPr>
        <w:t xml:space="preserve"> Every applicant for </w:t>
      </w:r>
      <w:r>
        <w:rPr>
          <w:rFonts w:ascii="Verdana" w:eastAsia="Times New Roman" w:hAnsi="Verdana"/>
          <w:color w:val="000000" w:themeColor="text1"/>
          <w:sz w:val="20"/>
          <w:szCs w:val="20"/>
        </w:rPr>
        <w:t xml:space="preserve">a </w:t>
      </w:r>
      <w:r w:rsidRPr="00B20F2F">
        <w:rPr>
          <w:rFonts w:ascii="Verdana" w:eastAsia="Times New Roman" w:hAnsi="Verdana"/>
          <w:color w:val="000000" w:themeColor="text1"/>
          <w:sz w:val="20"/>
          <w:szCs w:val="20"/>
        </w:rPr>
        <w:t xml:space="preserve">youth </w:t>
      </w:r>
      <w:r>
        <w:rPr>
          <w:rFonts w:ascii="Verdana" w:eastAsia="Times New Roman" w:hAnsi="Verdana"/>
          <w:color w:val="000000" w:themeColor="text1"/>
          <w:sz w:val="20"/>
          <w:szCs w:val="20"/>
        </w:rPr>
        <w:t xml:space="preserve">or children’s </w:t>
      </w:r>
      <w:r w:rsidRPr="00B20F2F">
        <w:rPr>
          <w:rFonts w:ascii="Verdana" w:eastAsia="Times New Roman" w:hAnsi="Verdana"/>
          <w:color w:val="000000" w:themeColor="text1"/>
          <w:sz w:val="20"/>
          <w:szCs w:val="20"/>
        </w:rPr>
        <w:t xml:space="preserve">ministry </w:t>
      </w:r>
      <w:r>
        <w:rPr>
          <w:rFonts w:ascii="Verdana" w:eastAsia="Times New Roman" w:hAnsi="Verdana"/>
          <w:color w:val="000000" w:themeColor="text1"/>
          <w:sz w:val="20"/>
          <w:szCs w:val="20"/>
        </w:rPr>
        <w:t xml:space="preserve">position </w:t>
      </w:r>
      <w:r w:rsidRPr="00B20F2F">
        <w:rPr>
          <w:rFonts w:ascii="Verdana" w:eastAsia="Times New Roman" w:hAnsi="Verdana"/>
          <w:color w:val="000000" w:themeColor="text1"/>
          <w:sz w:val="20"/>
          <w:szCs w:val="20"/>
        </w:rPr>
        <w:t>(volunteer or compensated) should complete a</w:t>
      </w:r>
      <w:r>
        <w:rPr>
          <w:rFonts w:ascii="Verdana" w:eastAsia="Times New Roman" w:hAnsi="Verdana"/>
          <w:color w:val="000000" w:themeColor="text1"/>
          <w:sz w:val="20"/>
          <w:szCs w:val="20"/>
        </w:rPr>
        <w:t xml:space="preserve">n </w:t>
      </w:r>
      <w:r w:rsidRPr="00B20F2F">
        <w:rPr>
          <w:rFonts w:ascii="Verdana" w:eastAsia="Times New Roman" w:hAnsi="Verdana"/>
          <w:color w:val="000000" w:themeColor="text1"/>
          <w:sz w:val="20"/>
          <w:szCs w:val="20"/>
        </w:rPr>
        <w:t xml:space="preserve">application. At a minimum, the application should ask for the applicant’s name and address, the names of other youth-serving organizations in which the applicant has worked as an employee or volunteer, a full explanation of any prior criminal convictions, and the names of two or more personal references. </w:t>
      </w:r>
    </w:p>
    <w:p w14:paraId="1917B847" w14:textId="77777777" w:rsidR="00602B31" w:rsidRPr="00B20F2F"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3E054154" w14:textId="77777777" w:rsidR="00602B31" w:rsidRDefault="00602B31" w:rsidP="00602B31">
      <w:pPr>
        <w:widowControl w:val="0"/>
        <w:numPr>
          <w:ilvl w:val="0"/>
          <w:numId w:val="6"/>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 xml:space="preserve">“Institutional references.” </w:t>
      </w:r>
      <w:r w:rsidRPr="00B20F2F">
        <w:rPr>
          <w:rFonts w:ascii="Verdana" w:eastAsia="Times New Roman" w:hAnsi="Verdana"/>
          <w:color w:val="000000" w:themeColor="text1"/>
          <w:sz w:val="20"/>
          <w:szCs w:val="20"/>
        </w:rPr>
        <w:t xml:space="preserve">The best reference is an </w:t>
      </w:r>
      <w:r w:rsidRPr="00B20F2F">
        <w:rPr>
          <w:rFonts w:ascii="Verdana" w:eastAsia="Times New Roman" w:hAnsi="Verdana"/>
          <w:i/>
          <w:color w:val="000000" w:themeColor="text1"/>
          <w:sz w:val="20"/>
          <w:szCs w:val="20"/>
        </w:rPr>
        <w:t>institutional reference</w:t>
      </w:r>
      <w:r w:rsidRPr="00B20F2F">
        <w:rPr>
          <w:rFonts w:ascii="Verdana" w:eastAsia="Times New Roman" w:hAnsi="Verdana"/>
          <w:color w:val="000000" w:themeColor="text1"/>
          <w:sz w:val="20"/>
          <w:szCs w:val="20"/>
        </w:rPr>
        <w:t>. This is a reference from another organization in which the applicant has worked with minors either as a paid employee or an unpaid volunteer. The key question to ask is whether the institution is aware of any information indicating that the applicant poses a risk of harm to minors or is in any other respect not suitable for youth or children’s ministry. Obviously, obtaining a positive reference from one or more other institutions that have actually observed the applicant interact with minors is the gold standard in screening prospective youth and children’s workers. Some applicants have not worked with other youth-serving institutions in the past, and so no institutional reference is available. In such cases, a church’s only option is to obtain personal references. However, risk can be reduced by limiting personal references to members of the church</w:t>
      </w:r>
      <w:r>
        <w:rPr>
          <w:rFonts w:ascii="Verdana" w:eastAsia="Times New Roman" w:hAnsi="Verdana"/>
          <w:color w:val="000000" w:themeColor="text1"/>
          <w:sz w:val="20"/>
          <w:szCs w:val="20"/>
        </w:rPr>
        <w:t>, or to members of other churches that are well known to church leadership.</w:t>
      </w:r>
    </w:p>
    <w:p w14:paraId="6AA7FC92" w14:textId="77777777" w:rsidR="00602B31" w:rsidRPr="008566FD" w:rsidRDefault="00602B31" w:rsidP="00602B31">
      <w:pPr>
        <w:widowControl w:val="0"/>
        <w:autoSpaceDE w:val="0"/>
        <w:autoSpaceDN w:val="0"/>
        <w:adjustRightInd w:val="0"/>
        <w:ind w:left="1080"/>
        <w:rPr>
          <w:rFonts w:ascii="Verdana" w:eastAsia="Times New Roman" w:hAnsi="Verdana"/>
          <w:color w:val="000000" w:themeColor="text1"/>
          <w:sz w:val="20"/>
          <w:szCs w:val="20"/>
        </w:rPr>
      </w:pPr>
    </w:p>
    <w:p w14:paraId="49914AB3" w14:textId="77777777" w:rsidR="00602B31" w:rsidRPr="008566FD" w:rsidRDefault="00602B31" w:rsidP="00602B31">
      <w:pPr>
        <w:widowControl w:val="0"/>
        <w:autoSpaceDE w:val="0"/>
        <w:autoSpaceDN w:val="0"/>
        <w:adjustRightInd w:val="0"/>
        <w:ind w:left="1440"/>
        <w:rPr>
          <w:rFonts w:ascii="Verdana" w:eastAsia="Times New Roman" w:hAnsi="Verdana"/>
          <w:color w:val="000000" w:themeColor="text1"/>
          <w:sz w:val="20"/>
          <w:szCs w:val="20"/>
        </w:rPr>
      </w:pPr>
      <w:r w:rsidRPr="008566FD">
        <w:rPr>
          <w:rFonts w:ascii="Verdana" w:eastAsia="Times New Roman" w:hAnsi="Verdana"/>
          <w:color w:val="000000" w:themeColor="text1"/>
          <w:sz w:val="20"/>
          <w:szCs w:val="20"/>
        </w:rPr>
        <w:t xml:space="preserve">For nonminister employees and volunteers, the best references will be from other churches or charities in which the applicant has worked with minors. Examples include Boy/Girl Scouts, Big Brothers/Sisters, Boys/Girls Clubs, YMCA, Little League, Catholic Charities, public or private schools, youth sports, or other churches or religious organizations. Seek a reference from </w:t>
      </w:r>
      <w:r w:rsidRPr="008566FD">
        <w:rPr>
          <w:rFonts w:ascii="Verdana" w:eastAsia="Times New Roman" w:hAnsi="Verdana"/>
          <w:color w:val="000000" w:themeColor="text1"/>
          <w:sz w:val="20"/>
          <w:szCs w:val="20"/>
        </w:rPr>
        <w:lastRenderedPageBreak/>
        <w:t>every such organization in which the applicant has served. Your application form should ask applicants to list all such organizations, including contact information.</w:t>
      </w:r>
    </w:p>
    <w:p w14:paraId="65EB90D0" w14:textId="77777777" w:rsidR="00602B31" w:rsidRPr="00B20F2F" w:rsidRDefault="00602B31" w:rsidP="00602B31">
      <w:pPr>
        <w:widowControl w:val="0"/>
        <w:autoSpaceDE w:val="0"/>
        <w:autoSpaceDN w:val="0"/>
        <w:adjustRightInd w:val="0"/>
        <w:rPr>
          <w:rFonts w:ascii="Verdana" w:eastAsia="Times New Roman" w:hAnsi="Verdana"/>
          <w:color w:val="000000" w:themeColor="text1"/>
          <w:sz w:val="20"/>
          <w:szCs w:val="20"/>
        </w:rPr>
      </w:pPr>
    </w:p>
    <w:p w14:paraId="191F68F6" w14:textId="77777777" w:rsidR="00602B31" w:rsidRDefault="00602B31" w:rsidP="00602B31">
      <w:pPr>
        <w:widowControl w:val="0"/>
        <w:autoSpaceDE w:val="0"/>
        <w:autoSpaceDN w:val="0"/>
        <w:adjustRightInd w:val="0"/>
        <w:ind w:left="1440"/>
        <w:rPr>
          <w:rFonts w:ascii="Verdana" w:eastAsia="Times New Roman" w:hAnsi="Verdana"/>
          <w:color w:val="000000" w:themeColor="text1"/>
          <w:sz w:val="20"/>
          <w:szCs w:val="20"/>
        </w:rPr>
      </w:pPr>
      <w:r>
        <w:rPr>
          <w:rFonts w:ascii="Verdana" w:eastAsia="Times New Roman" w:hAnsi="Verdana"/>
          <w:color w:val="000000" w:themeColor="text1"/>
          <w:sz w:val="20"/>
          <w:szCs w:val="20"/>
        </w:rPr>
        <w:t>For persons seeking a position as a youth or children’s pastor, institutional references include other churches in which the applicant has worked in youth or children’s ministry, and the District Council with which the applicant is credentialed.</w:t>
      </w:r>
    </w:p>
    <w:p w14:paraId="650A6055" w14:textId="77777777" w:rsidR="00602B31"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5A1E9B35" w14:textId="77777777" w:rsidR="00602B31" w:rsidRPr="00B20F2F" w:rsidRDefault="00602B31" w:rsidP="00602B31">
      <w:pPr>
        <w:widowControl w:val="0"/>
        <w:autoSpaceDE w:val="0"/>
        <w:autoSpaceDN w:val="0"/>
        <w:adjustRightInd w:val="0"/>
        <w:ind w:left="1440"/>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Often, a church will not receive a response to a written reference request. In such a case, </w:t>
      </w:r>
      <w:r w:rsidRPr="00B20F2F">
        <w:rPr>
          <w:rFonts w:ascii="Verdana" w:eastAsia="Times New Roman" w:hAnsi="Verdana"/>
          <w:color w:val="000000" w:themeColor="text1"/>
          <w:sz w:val="20"/>
          <w:szCs w:val="20"/>
        </w:rPr>
        <w:t>contact the reference by phone and prepare a written memorandum noting the reference’s identity,</w:t>
      </w:r>
      <w:r>
        <w:rPr>
          <w:rFonts w:ascii="Verdana" w:eastAsia="Times New Roman" w:hAnsi="Verdana"/>
          <w:color w:val="000000" w:themeColor="text1"/>
          <w:sz w:val="20"/>
          <w:szCs w:val="20"/>
        </w:rPr>
        <w:t xml:space="preserve"> </w:t>
      </w:r>
      <w:r w:rsidRPr="00B20F2F">
        <w:rPr>
          <w:rFonts w:ascii="Verdana" w:eastAsia="Times New Roman" w:hAnsi="Verdana"/>
          <w:color w:val="000000" w:themeColor="text1"/>
          <w:sz w:val="20"/>
          <w:szCs w:val="20"/>
        </w:rPr>
        <w:t>the date and method of the contact, the person making the contact,</w:t>
      </w:r>
      <w:r>
        <w:rPr>
          <w:rFonts w:ascii="Verdana" w:eastAsia="Times New Roman" w:hAnsi="Verdana"/>
          <w:color w:val="000000" w:themeColor="text1"/>
          <w:sz w:val="20"/>
          <w:szCs w:val="20"/>
        </w:rPr>
        <w:t xml:space="preserve"> t</w:t>
      </w:r>
      <w:r w:rsidRPr="00B20F2F">
        <w:rPr>
          <w:rFonts w:ascii="Verdana" w:eastAsia="Times New Roman" w:hAnsi="Verdana"/>
          <w:color w:val="000000" w:themeColor="text1"/>
          <w:sz w:val="20"/>
          <w:szCs w:val="20"/>
        </w:rPr>
        <w:t>he questions asked</w:t>
      </w:r>
      <w:r>
        <w:rPr>
          <w:rFonts w:ascii="Verdana" w:eastAsia="Times New Roman" w:hAnsi="Verdana"/>
          <w:color w:val="000000" w:themeColor="text1"/>
          <w:sz w:val="20"/>
          <w:szCs w:val="20"/>
        </w:rPr>
        <w:t xml:space="preserve">, </w:t>
      </w:r>
      <w:r w:rsidRPr="00B20F2F">
        <w:rPr>
          <w:rFonts w:ascii="Verdana" w:eastAsia="Times New Roman" w:hAnsi="Verdana"/>
          <w:color w:val="000000" w:themeColor="text1"/>
          <w:sz w:val="20"/>
          <w:szCs w:val="20"/>
        </w:rPr>
        <w:t>and a summary of the reference’s remarks.</w:t>
      </w:r>
      <w:r w:rsidRPr="001E3362">
        <w:rPr>
          <w:rFonts w:ascii="Verdana" w:eastAsia="Times New Roman" w:hAnsi="Verdana"/>
          <w:color w:val="000000" w:themeColor="text1"/>
          <w:sz w:val="20"/>
          <w:szCs w:val="20"/>
        </w:rPr>
        <w:t xml:space="preserve"> </w:t>
      </w:r>
      <w:r>
        <w:rPr>
          <w:rFonts w:ascii="Verdana" w:eastAsia="Times New Roman" w:hAnsi="Verdana"/>
          <w:color w:val="000000" w:themeColor="text1"/>
          <w:sz w:val="20"/>
          <w:szCs w:val="20"/>
        </w:rPr>
        <w:t>I</w:t>
      </w:r>
      <w:r w:rsidRPr="001E3362">
        <w:rPr>
          <w:rFonts w:ascii="Verdana" w:eastAsia="Times New Roman" w:hAnsi="Verdana"/>
          <w:color w:val="000000" w:themeColor="text1"/>
          <w:sz w:val="20"/>
          <w:szCs w:val="20"/>
        </w:rPr>
        <w:t>deally</w:t>
      </w:r>
      <w:r>
        <w:rPr>
          <w:rFonts w:ascii="Verdana" w:eastAsia="Times New Roman" w:hAnsi="Verdana"/>
          <w:color w:val="000000" w:themeColor="text1"/>
          <w:sz w:val="20"/>
          <w:szCs w:val="20"/>
        </w:rPr>
        <w:t>,</w:t>
      </w:r>
      <w:r w:rsidRPr="001E3362">
        <w:rPr>
          <w:rFonts w:ascii="Verdana" w:eastAsia="Times New Roman" w:hAnsi="Verdana"/>
          <w:color w:val="000000" w:themeColor="text1"/>
          <w:sz w:val="20"/>
          <w:szCs w:val="20"/>
        </w:rPr>
        <w:t xml:space="preserve"> have a second person listening in on the conversation who can sign the memorandum as a witness</w:t>
      </w:r>
      <w:r>
        <w:rPr>
          <w:rFonts w:ascii="Verdana" w:eastAsia="Times New Roman" w:hAnsi="Verdana"/>
          <w:color w:val="000000" w:themeColor="text1"/>
          <w:sz w:val="20"/>
          <w:szCs w:val="20"/>
        </w:rPr>
        <w:t>.</w:t>
      </w:r>
      <w:r w:rsidRPr="00B20F2F">
        <w:rPr>
          <w:rFonts w:ascii="Verdana" w:eastAsia="Times New Roman" w:hAnsi="Verdana"/>
          <w:color w:val="000000" w:themeColor="text1"/>
          <w:sz w:val="20"/>
          <w:szCs w:val="20"/>
        </w:rPr>
        <w:t xml:space="preserve"> Such forms, when completed, should be kept with an applicant’s original application. They should be kept permanently.</w:t>
      </w:r>
    </w:p>
    <w:p w14:paraId="63352388" w14:textId="77777777" w:rsidR="00602B31" w:rsidRPr="00B20F2F"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08A10C19" w14:textId="77777777" w:rsidR="00602B31" w:rsidRPr="00204B2E" w:rsidRDefault="00602B31" w:rsidP="00602B31">
      <w:pPr>
        <w:widowControl w:val="0"/>
        <w:autoSpaceDE w:val="0"/>
        <w:autoSpaceDN w:val="0"/>
        <w:adjustRightInd w:val="0"/>
        <w:ind w:left="1440"/>
        <w:rPr>
          <w:rFonts w:ascii="Verdana" w:eastAsia="Times New Roman" w:hAnsi="Verdana"/>
          <w:i/>
          <w:iCs/>
          <w:color w:val="000000" w:themeColor="text1"/>
          <w:sz w:val="20"/>
          <w:szCs w:val="20"/>
        </w:rPr>
      </w:pPr>
      <w:r w:rsidRPr="00204B2E">
        <w:rPr>
          <w:rFonts w:ascii="Verdana" w:eastAsia="Times New Roman" w:hAnsi="Verdana"/>
          <w:b/>
          <w:i/>
          <w:iCs/>
          <w:color w:val="000000" w:themeColor="text1"/>
          <w:sz w:val="20"/>
          <w:szCs w:val="20"/>
        </w:rPr>
        <w:t xml:space="preserve">Caution. </w:t>
      </w:r>
      <w:r w:rsidRPr="00204B2E">
        <w:rPr>
          <w:rFonts w:ascii="Verdana" w:eastAsia="Times New Roman" w:hAnsi="Verdana"/>
          <w:i/>
          <w:iCs/>
          <w:color w:val="000000" w:themeColor="text1"/>
          <w:sz w:val="20"/>
          <w:szCs w:val="20"/>
        </w:rPr>
        <w:t xml:space="preserve">Be sure you are aware of any additional legal requirements that apply in your state. For example, a number of states have </w:t>
      </w:r>
      <w:r>
        <w:rPr>
          <w:rFonts w:ascii="Verdana" w:eastAsia="Times New Roman" w:hAnsi="Verdana"/>
          <w:i/>
          <w:iCs/>
          <w:color w:val="000000" w:themeColor="text1"/>
          <w:sz w:val="20"/>
          <w:szCs w:val="20"/>
        </w:rPr>
        <w:t xml:space="preserve">enacted </w:t>
      </w:r>
      <w:r w:rsidRPr="00204B2E">
        <w:rPr>
          <w:rFonts w:ascii="Verdana" w:eastAsia="Times New Roman" w:hAnsi="Verdana"/>
          <w:i/>
          <w:iCs/>
          <w:color w:val="000000" w:themeColor="text1"/>
          <w:sz w:val="20"/>
          <w:szCs w:val="20"/>
        </w:rPr>
        <w:t xml:space="preserve">laws requiring church-operated child-care facilities to check with the state before hiring any applicant for employment to ensure that each applicant does not have a criminal record involving certain types of crimes. You will need to check with an attorney for guidance. </w:t>
      </w:r>
    </w:p>
    <w:p w14:paraId="2559DFF1" w14:textId="77777777" w:rsidR="00602B31" w:rsidRPr="00B20F2F"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03F0F79F" w14:textId="77777777" w:rsidR="00602B31" w:rsidRPr="00B20F2F" w:rsidRDefault="00602B31" w:rsidP="00602B31">
      <w:pPr>
        <w:widowControl w:val="0"/>
        <w:numPr>
          <w:ilvl w:val="0"/>
          <w:numId w:val="6"/>
        </w:numPr>
        <w:autoSpaceDE w:val="0"/>
        <w:autoSpaceDN w:val="0"/>
        <w:adjustRightInd w:val="0"/>
        <w:rPr>
          <w:rFonts w:ascii="Verdana" w:eastAsia="Times New Roman" w:hAnsi="Verdana"/>
          <w:b/>
          <w:color w:val="000000" w:themeColor="text1"/>
          <w:sz w:val="20"/>
          <w:szCs w:val="20"/>
        </w:rPr>
      </w:pPr>
      <w:r w:rsidRPr="00B20F2F">
        <w:rPr>
          <w:rFonts w:ascii="Verdana" w:eastAsia="Times New Roman" w:hAnsi="Verdana"/>
          <w:b/>
          <w:color w:val="000000" w:themeColor="text1"/>
          <w:sz w:val="20"/>
          <w:szCs w:val="20"/>
        </w:rPr>
        <w:t xml:space="preserve">A six-month rule. </w:t>
      </w:r>
      <w:r w:rsidRPr="00B20F2F">
        <w:rPr>
          <w:rFonts w:ascii="Verdana" w:eastAsia="Times New Roman" w:hAnsi="Verdana"/>
          <w:color w:val="000000" w:themeColor="text1"/>
          <w:sz w:val="20"/>
          <w:szCs w:val="20"/>
        </w:rPr>
        <w:t xml:space="preserve">Churches can reduce the risk of sexual molestation of minors by adopting a policy restricting eligibility for any volunteer position involving the custody or supervision of minors to those persons who have been members in good standing of the church for a minimum period of time, such as six months. Such a policy gives the church </w:t>
      </w:r>
      <w:r>
        <w:rPr>
          <w:rFonts w:ascii="Verdana" w:eastAsia="Times New Roman" w:hAnsi="Verdana"/>
          <w:color w:val="000000" w:themeColor="text1"/>
          <w:sz w:val="20"/>
          <w:szCs w:val="20"/>
        </w:rPr>
        <w:t xml:space="preserve">a better </w:t>
      </w:r>
      <w:r w:rsidRPr="00B20F2F">
        <w:rPr>
          <w:rFonts w:ascii="Verdana" w:eastAsia="Times New Roman" w:hAnsi="Verdana"/>
          <w:color w:val="000000" w:themeColor="text1"/>
          <w:sz w:val="20"/>
          <w:szCs w:val="20"/>
        </w:rPr>
        <w:t>opportunity to evaluate applicants, and will help to repel persons seeking immediate access to potential victims.</w:t>
      </w:r>
    </w:p>
    <w:p w14:paraId="4E5844C9" w14:textId="77777777" w:rsidR="00602B31" w:rsidRPr="00B20F2F" w:rsidRDefault="00602B31" w:rsidP="00602B31">
      <w:pPr>
        <w:widowControl w:val="0"/>
        <w:autoSpaceDE w:val="0"/>
        <w:autoSpaceDN w:val="0"/>
        <w:adjustRightInd w:val="0"/>
        <w:rPr>
          <w:rFonts w:ascii="Verdana" w:eastAsia="Times New Roman" w:hAnsi="Verdana"/>
          <w:color w:val="000000" w:themeColor="text1"/>
          <w:sz w:val="20"/>
          <w:szCs w:val="20"/>
        </w:rPr>
      </w:pPr>
    </w:p>
    <w:p w14:paraId="2B53AB70" w14:textId="77777777" w:rsidR="00602B31" w:rsidRPr="00B20F2F" w:rsidRDefault="00602B31" w:rsidP="00602B31">
      <w:pPr>
        <w:numPr>
          <w:ilvl w:val="0"/>
          <w:numId w:val="6"/>
        </w:numPr>
        <w:autoSpaceDE w:val="0"/>
        <w:autoSpaceDN w:val="0"/>
        <w:adjustRightInd w:val="0"/>
        <w:rPr>
          <w:rFonts w:ascii="Verdana" w:hAnsi="Verdana"/>
          <w:sz w:val="20"/>
          <w:szCs w:val="20"/>
        </w:rPr>
      </w:pPr>
      <w:r w:rsidRPr="00B20F2F">
        <w:rPr>
          <w:rFonts w:ascii="Verdana" w:eastAsia="Times New Roman" w:hAnsi="Verdana"/>
          <w:b/>
          <w:color w:val="000000" w:themeColor="text1"/>
          <w:sz w:val="20"/>
          <w:szCs w:val="20"/>
        </w:rPr>
        <w:t>“Benchmark” church policies by comparing them with the policies of other charities and the public schools.</w:t>
      </w:r>
      <w:r w:rsidRPr="00B20F2F">
        <w:rPr>
          <w:rFonts w:ascii="Verdana" w:eastAsia="Times New Roman" w:hAnsi="Verdana"/>
          <w:color w:val="000000" w:themeColor="text1"/>
          <w:sz w:val="20"/>
          <w:szCs w:val="20"/>
        </w:rPr>
        <w:t xml:space="preserve"> </w:t>
      </w:r>
      <w:r w:rsidRPr="00B20F2F">
        <w:rPr>
          <w:rFonts w:ascii="Verdana" w:hAnsi="Verdana"/>
          <w:sz w:val="20"/>
          <w:szCs w:val="20"/>
        </w:rPr>
        <w:t>Check with other churches and youth-serving charities (i.e., YMCA, Boy/Girl Scouts, Big Brothers/Sisters) to see how your procedures compare. Most importantly, check with your public school district. Public schools are agencies of the state, and therefore by aligning your procedures to those of public schools you are going a long way in demonstrating that your procedures are reasonable and not negligent.</w:t>
      </w:r>
    </w:p>
    <w:p w14:paraId="43E4A80D" w14:textId="77777777" w:rsidR="00602B31" w:rsidRPr="00B20F2F" w:rsidRDefault="00602B31" w:rsidP="00602B31">
      <w:pPr>
        <w:autoSpaceDE w:val="0"/>
        <w:autoSpaceDN w:val="0"/>
        <w:adjustRightInd w:val="0"/>
        <w:ind w:left="720"/>
        <w:rPr>
          <w:rFonts w:ascii="Verdana" w:hAnsi="Verdana"/>
          <w:sz w:val="20"/>
          <w:szCs w:val="20"/>
        </w:rPr>
      </w:pPr>
    </w:p>
    <w:p w14:paraId="360FD5B0" w14:textId="77777777" w:rsidR="00602B31" w:rsidRPr="00B20F2F" w:rsidRDefault="00602B31" w:rsidP="00602B31">
      <w:pPr>
        <w:pStyle w:val="ListParagraph"/>
        <w:widowControl w:val="0"/>
        <w:numPr>
          <w:ilvl w:val="0"/>
          <w:numId w:val="6"/>
        </w:numPr>
        <w:autoSpaceDE w:val="0"/>
        <w:autoSpaceDN w:val="0"/>
        <w:adjustRightInd w:val="0"/>
        <w:rPr>
          <w:rFonts w:ascii="Verdana" w:eastAsia="Times New Roman" w:hAnsi="Verdana"/>
          <w:b/>
          <w:color w:val="000000" w:themeColor="text1"/>
          <w:sz w:val="20"/>
          <w:szCs w:val="20"/>
        </w:rPr>
      </w:pPr>
      <w:r w:rsidRPr="00B20F2F">
        <w:rPr>
          <w:rFonts w:ascii="Verdana" w:eastAsia="Times New Roman" w:hAnsi="Verdana"/>
          <w:b/>
          <w:color w:val="000000" w:themeColor="text1"/>
          <w:sz w:val="20"/>
          <w:szCs w:val="20"/>
        </w:rPr>
        <w:t>Periodic review of your policies by legal counsel.</w:t>
      </w:r>
      <w:r w:rsidRPr="00B20F2F">
        <w:rPr>
          <w:rFonts w:ascii="Verdana" w:eastAsia="Times New Roman" w:hAnsi="Verdana"/>
          <w:color w:val="000000" w:themeColor="text1"/>
          <w:sz w:val="20"/>
          <w:szCs w:val="20"/>
        </w:rPr>
        <w:t xml:space="preserve"> Like benchmarking, having an attorney periodically review your worker selection procedures will help to establish the exercise of reasonable care which will reduce the risk of both harm and a finding of negligence. </w:t>
      </w:r>
    </w:p>
    <w:p w14:paraId="1885880C" w14:textId="77777777" w:rsidR="00602B31" w:rsidRPr="00B20F2F" w:rsidRDefault="00602B31" w:rsidP="00602B31">
      <w:pPr>
        <w:pStyle w:val="ListParagraph"/>
        <w:widowControl w:val="0"/>
        <w:autoSpaceDE w:val="0"/>
        <w:autoSpaceDN w:val="0"/>
        <w:adjustRightInd w:val="0"/>
        <w:ind w:left="1440"/>
        <w:rPr>
          <w:rFonts w:ascii="Verdana" w:eastAsia="Times New Roman" w:hAnsi="Verdana"/>
          <w:color w:val="000000" w:themeColor="text1"/>
          <w:sz w:val="20"/>
          <w:szCs w:val="20"/>
        </w:rPr>
      </w:pPr>
    </w:p>
    <w:p w14:paraId="55C0F64C" w14:textId="77777777" w:rsidR="00602B31" w:rsidRDefault="00602B31" w:rsidP="00602B31">
      <w:pPr>
        <w:widowControl w:val="0"/>
        <w:numPr>
          <w:ilvl w:val="0"/>
          <w:numId w:val="6"/>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Adopt a two-adult policy prohibiting a child from being alone with an unrelated adult.</w:t>
      </w:r>
      <w:r w:rsidRPr="002D0DE4">
        <w:rPr>
          <w:rFonts w:ascii="Verdana" w:eastAsia="Times New Roman" w:hAnsi="Verdana"/>
          <w:bCs/>
          <w:color w:val="000000" w:themeColor="text1"/>
          <w:sz w:val="20"/>
          <w:szCs w:val="20"/>
        </w:rPr>
        <w:t xml:space="preserve"> Adopt </w:t>
      </w:r>
      <w:r w:rsidRPr="00B20F2F">
        <w:rPr>
          <w:rFonts w:ascii="Verdana" w:eastAsia="Times New Roman" w:hAnsi="Verdana"/>
          <w:color w:val="000000" w:themeColor="text1"/>
          <w:sz w:val="20"/>
          <w:szCs w:val="20"/>
        </w:rPr>
        <w:t xml:space="preserve">a “two-adult” policy. Such a policy simply says that no minor is ever allowed to be alone with an </w:t>
      </w:r>
      <w:r>
        <w:rPr>
          <w:rFonts w:ascii="Verdana" w:eastAsia="Times New Roman" w:hAnsi="Verdana"/>
          <w:color w:val="000000" w:themeColor="text1"/>
          <w:sz w:val="20"/>
          <w:szCs w:val="20"/>
        </w:rPr>
        <w:t xml:space="preserve">unrelated </w:t>
      </w:r>
      <w:r w:rsidRPr="00B20F2F">
        <w:rPr>
          <w:rFonts w:ascii="Verdana" w:eastAsia="Times New Roman" w:hAnsi="Verdana"/>
          <w:color w:val="000000" w:themeColor="text1"/>
          <w:sz w:val="20"/>
          <w:szCs w:val="20"/>
        </w:rPr>
        <w:t xml:space="preserve">adult during any church activity. This </w:t>
      </w:r>
      <w:r>
        <w:rPr>
          <w:rFonts w:ascii="Verdana" w:eastAsia="Times New Roman" w:hAnsi="Verdana"/>
          <w:color w:val="000000" w:themeColor="text1"/>
          <w:sz w:val="20"/>
          <w:szCs w:val="20"/>
        </w:rPr>
        <w:t xml:space="preserve">policy </w:t>
      </w:r>
      <w:r w:rsidRPr="00B20F2F">
        <w:rPr>
          <w:rFonts w:ascii="Verdana" w:eastAsia="Times New Roman" w:hAnsi="Verdana"/>
          <w:color w:val="000000" w:themeColor="text1"/>
          <w:sz w:val="20"/>
          <w:szCs w:val="20"/>
        </w:rPr>
        <w:t>reduces the risk of child molestation, and also reduces the risk of false accusations of molestation.</w:t>
      </w:r>
    </w:p>
    <w:p w14:paraId="66B59574"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p>
    <w:p w14:paraId="5F3366CB" w14:textId="77777777" w:rsidR="00602B31" w:rsidRPr="00FC400F" w:rsidRDefault="00602B31" w:rsidP="00602B31">
      <w:pPr>
        <w:widowControl w:val="0"/>
        <w:autoSpaceDE w:val="0"/>
        <w:autoSpaceDN w:val="0"/>
        <w:adjustRightInd w:val="0"/>
        <w:ind w:left="1890"/>
        <w:rPr>
          <w:rFonts w:ascii="Verdana" w:eastAsia="Times New Roman" w:hAnsi="Verdana"/>
          <w:i/>
          <w:iCs/>
          <w:color w:val="000000" w:themeColor="text1"/>
          <w:sz w:val="20"/>
          <w:szCs w:val="20"/>
        </w:rPr>
      </w:pPr>
      <w:r w:rsidRPr="00FC400F">
        <w:rPr>
          <w:rFonts w:ascii="Verdana" w:eastAsia="Times New Roman" w:hAnsi="Verdana"/>
          <w:b/>
          <w:bCs/>
          <w:i/>
          <w:iCs/>
          <w:color w:val="000000" w:themeColor="text1"/>
          <w:sz w:val="20"/>
          <w:szCs w:val="20"/>
        </w:rPr>
        <w:t>Key point.</w:t>
      </w:r>
      <w:r w:rsidRPr="00FC400F">
        <w:rPr>
          <w:rFonts w:ascii="Verdana" w:eastAsia="Times New Roman" w:hAnsi="Verdana"/>
          <w:i/>
          <w:iCs/>
          <w:color w:val="000000" w:themeColor="text1"/>
          <w:sz w:val="20"/>
          <w:szCs w:val="20"/>
        </w:rPr>
        <w:t xml:space="preserve"> Some churches make an exception to the two-adult rule for </w:t>
      </w:r>
      <w:r w:rsidRPr="00FC400F">
        <w:rPr>
          <w:rFonts w:ascii="Verdana" w:eastAsia="Times New Roman" w:hAnsi="Verdana"/>
          <w:i/>
          <w:iCs/>
          <w:color w:val="000000" w:themeColor="text1"/>
          <w:sz w:val="20"/>
          <w:szCs w:val="20"/>
        </w:rPr>
        <w:lastRenderedPageBreak/>
        <w:t xml:space="preserve">on-site teaching activities conducted during regular church hours, allowing </w:t>
      </w:r>
      <w:r>
        <w:rPr>
          <w:rFonts w:ascii="Verdana" w:eastAsia="Times New Roman" w:hAnsi="Verdana"/>
          <w:i/>
          <w:iCs/>
          <w:color w:val="000000" w:themeColor="text1"/>
          <w:sz w:val="20"/>
          <w:szCs w:val="20"/>
        </w:rPr>
        <w:t xml:space="preserve">multiple children </w:t>
      </w:r>
      <w:r w:rsidRPr="00FC400F">
        <w:rPr>
          <w:rFonts w:ascii="Verdana" w:eastAsia="Times New Roman" w:hAnsi="Verdana"/>
          <w:i/>
          <w:iCs/>
          <w:color w:val="000000" w:themeColor="text1"/>
          <w:sz w:val="20"/>
          <w:szCs w:val="20"/>
        </w:rPr>
        <w:t xml:space="preserve">to be in a classroom with only one adult. Such churches often use the public schools as their comparator. It is common for public school teachers to be alone in a classroom with several children, but this arrangement has not led to accusations of negligence, probably because of the </w:t>
      </w:r>
      <w:r>
        <w:rPr>
          <w:rFonts w:ascii="Verdana" w:eastAsia="Times New Roman" w:hAnsi="Verdana"/>
          <w:i/>
          <w:iCs/>
          <w:color w:val="000000" w:themeColor="text1"/>
          <w:sz w:val="20"/>
          <w:szCs w:val="20"/>
        </w:rPr>
        <w:t>implausibility</w:t>
      </w:r>
      <w:r w:rsidRPr="00FC400F">
        <w:rPr>
          <w:rFonts w:ascii="Verdana" w:eastAsia="Times New Roman" w:hAnsi="Verdana"/>
          <w:i/>
          <w:iCs/>
          <w:color w:val="000000" w:themeColor="text1"/>
          <w:sz w:val="20"/>
          <w:szCs w:val="20"/>
        </w:rPr>
        <w:t xml:space="preserve"> that a teacher could molest a child in a classroom with several students without being detected and reported. As noted </w:t>
      </w:r>
      <w:r>
        <w:rPr>
          <w:rFonts w:ascii="Verdana" w:eastAsia="Times New Roman" w:hAnsi="Verdana"/>
          <w:i/>
          <w:iCs/>
          <w:color w:val="000000" w:themeColor="text1"/>
          <w:sz w:val="20"/>
          <w:szCs w:val="20"/>
        </w:rPr>
        <w:t>above</w:t>
      </w:r>
      <w:r w:rsidRPr="00FC400F">
        <w:rPr>
          <w:rFonts w:ascii="Verdana" w:eastAsia="Times New Roman" w:hAnsi="Verdana"/>
          <w:i/>
          <w:iCs/>
          <w:color w:val="000000" w:themeColor="text1"/>
          <w:sz w:val="20"/>
          <w:szCs w:val="20"/>
        </w:rPr>
        <w:t>, p</w:t>
      </w:r>
      <w:r w:rsidRPr="00FC400F">
        <w:rPr>
          <w:rFonts w:ascii="Verdana" w:hAnsi="Verdana"/>
          <w:i/>
          <w:iCs/>
          <w:sz w:val="20"/>
          <w:szCs w:val="20"/>
        </w:rPr>
        <w:t>ublic schools are agencies of the state, and therefore by aligning your procedures to those of public schools you are demonstrating that your procedures are reasonable and not negligent.</w:t>
      </w:r>
    </w:p>
    <w:p w14:paraId="51FB69EA" w14:textId="77777777" w:rsidR="00602B31" w:rsidRPr="002D0DE4" w:rsidRDefault="00602B31" w:rsidP="00602B31">
      <w:pPr>
        <w:widowControl w:val="0"/>
        <w:tabs>
          <w:tab w:val="left" w:pos="1890"/>
        </w:tabs>
        <w:autoSpaceDE w:val="0"/>
        <w:autoSpaceDN w:val="0"/>
        <w:adjustRightInd w:val="0"/>
        <w:ind w:left="1890"/>
        <w:rPr>
          <w:rFonts w:ascii="Verdana" w:eastAsia="Times New Roman" w:hAnsi="Verdana"/>
          <w:i/>
          <w:iCs/>
          <w:color w:val="000000" w:themeColor="text1"/>
          <w:sz w:val="20"/>
          <w:szCs w:val="20"/>
        </w:rPr>
      </w:pPr>
    </w:p>
    <w:p w14:paraId="351B0CA0" w14:textId="77777777" w:rsidR="00602B31" w:rsidRPr="002D0DE4" w:rsidRDefault="00602B31" w:rsidP="00602B31">
      <w:pPr>
        <w:widowControl w:val="0"/>
        <w:tabs>
          <w:tab w:val="left" w:pos="1890"/>
        </w:tabs>
        <w:autoSpaceDE w:val="0"/>
        <w:autoSpaceDN w:val="0"/>
        <w:adjustRightInd w:val="0"/>
        <w:ind w:left="1890"/>
        <w:rPr>
          <w:rFonts w:ascii="Verdana" w:eastAsia="Times New Roman" w:hAnsi="Verdana"/>
          <w:i/>
          <w:iCs/>
          <w:color w:val="000000" w:themeColor="text1"/>
          <w:sz w:val="20"/>
          <w:szCs w:val="20"/>
        </w:rPr>
      </w:pPr>
      <w:r w:rsidRPr="002D0DE4">
        <w:rPr>
          <w:rFonts w:ascii="Verdana" w:eastAsia="Times New Roman" w:hAnsi="Verdana"/>
          <w:b/>
          <w:i/>
          <w:iCs/>
          <w:color w:val="000000" w:themeColor="text1"/>
          <w:sz w:val="20"/>
          <w:szCs w:val="20"/>
        </w:rPr>
        <w:t>Example.</w:t>
      </w:r>
      <w:r w:rsidRPr="002D0DE4">
        <w:rPr>
          <w:rFonts w:ascii="Verdana" w:eastAsia="Times New Roman" w:hAnsi="Verdana"/>
          <w:i/>
          <w:iCs/>
          <w:color w:val="000000" w:themeColor="text1"/>
          <w:sz w:val="20"/>
          <w:szCs w:val="20"/>
        </w:rPr>
        <w:t xml:space="preserve"> A church sponsors a campout for young boys. Some of the boys are accompanied by their fathers, but several are not. One tent is occupied by an adult volunteer worker and</w:t>
      </w:r>
      <w:r>
        <w:rPr>
          <w:rFonts w:ascii="Verdana" w:eastAsia="Times New Roman" w:hAnsi="Verdana"/>
          <w:i/>
          <w:iCs/>
          <w:color w:val="000000" w:themeColor="text1"/>
          <w:sz w:val="20"/>
          <w:szCs w:val="20"/>
        </w:rPr>
        <w:t xml:space="preserve"> three boys</w:t>
      </w:r>
      <w:r w:rsidRPr="002D0DE4">
        <w:rPr>
          <w:rFonts w:ascii="Verdana" w:eastAsia="Times New Roman" w:hAnsi="Verdana"/>
          <w:i/>
          <w:iCs/>
          <w:color w:val="000000" w:themeColor="text1"/>
          <w:sz w:val="20"/>
          <w:szCs w:val="20"/>
        </w:rPr>
        <w:t>. This arrangement violates the two-adult rule.</w:t>
      </w:r>
    </w:p>
    <w:p w14:paraId="69C02F10" w14:textId="77777777" w:rsidR="00602B31" w:rsidRPr="002D0DE4" w:rsidRDefault="00602B31" w:rsidP="00602B31">
      <w:pPr>
        <w:widowControl w:val="0"/>
        <w:tabs>
          <w:tab w:val="left" w:pos="1890"/>
        </w:tabs>
        <w:autoSpaceDE w:val="0"/>
        <w:autoSpaceDN w:val="0"/>
        <w:adjustRightInd w:val="0"/>
        <w:ind w:left="1890"/>
        <w:rPr>
          <w:rFonts w:ascii="Verdana" w:eastAsia="Times New Roman" w:hAnsi="Verdana"/>
          <w:i/>
          <w:iCs/>
          <w:color w:val="000000" w:themeColor="text1"/>
          <w:sz w:val="20"/>
          <w:szCs w:val="20"/>
        </w:rPr>
      </w:pPr>
    </w:p>
    <w:p w14:paraId="0CDA69F5" w14:textId="77777777" w:rsidR="00602B31" w:rsidRPr="002D0DE4" w:rsidRDefault="00602B31" w:rsidP="00602B31">
      <w:pPr>
        <w:widowControl w:val="0"/>
        <w:tabs>
          <w:tab w:val="left" w:pos="1890"/>
        </w:tabs>
        <w:autoSpaceDE w:val="0"/>
        <w:autoSpaceDN w:val="0"/>
        <w:adjustRightInd w:val="0"/>
        <w:ind w:left="1890"/>
        <w:rPr>
          <w:rFonts w:ascii="Verdana" w:eastAsia="Times New Roman" w:hAnsi="Verdana"/>
          <w:i/>
          <w:iCs/>
          <w:color w:val="000000" w:themeColor="text1"/>
          <w:sz w:val="20"/>
          <w:szCs w:val="20"/>
        </w:rPr>
      </w:pPr>
      <w:r w:rsidRPr="002D0DE4">
        <w:rPr>
          <w:rFonts w:ascii="Verdana" w:eastAsia="Times New Roman" w:hAnsi="Verdana"/>
          <w:b/>
          <w:i/>
          <w:iCs/>
          <w:color w:val="000000" w:themeColor="text1"/>
          <w:sz w:val="20"/>
          <w:szCs w:val="20"/>
        </w:rPr>
        <w:t>Example.</w:t>
      </w:r>
      <w:r w:rsidRPr="002D0DE4">
        <w:rPr>
          <w:rFonts w:ascii="Verdana" w:eastAsia="Times New Roman" w:hAnsi="Verdana"/>
          <w:i/>
          <w:iCs/>
          <w:color w:val="000000" w:themeColor="text1"/>
          <w:sz w:val="20"/>
          <w:szCs w:val="20"/>
        </w:rPr>
        <w:t xml:space="preserve"> A youth pastor takes home a group of five teenagers following an activity at church. After taking four of the teenagers to their homes, he is left in his car with a 15-year-old female. This arrangement violates the two-adult rule.</w:t>
      </w:r>
    </w:p>
    <w:p w14:paraId="321F9A1F" w14:textId="77777777" w:rsidR="00602B31" w:rsidRPr="00B20F2F"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016860FF" w14:textId="77777777" w:rsidR="00602B31" w:rsidRDefault="00602B31" w:rsidP="00602B31">
      <w:pPr>
        <w:widowControl w:val="0"/>
        <w:numPr>
          <w:ilvl w:val="0"/>
          <w:numId w:val="6"/>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 xml:space="preserve">A criminal background check consisting of a nationwide search of sex offender registries, and a national criminal file search. </w:t>
      </w:r>
      <w:r w:rsidRPr="00B20F2F">
        <w:rPr>
          <w:rFonts w:ascii="Verdana" w:eastAsia="Times New Roman" w:hAnsi="Verdana"/>
          <w:color w:val="000000" w:themeColor="text1"/>
          <w:sz w:val="20"/>
          <w:szCs w:val="20"/>
        </w:rPr>
        <w:t xml:space="preserve">Criminal records checks are inexpensive and convenient, and they are an essential component of risk management. Preferential pricing often is available from your insurance company. Never hire anyone in a youth or children’s ministry position, as either an employee or </w:t>
      </w:r>
      <w:r>
        <w:rPr>
          <w:rFonts w:ascii="Verdana" w:eastAsia="Times New Roman" w:hAnsi="Verdana"/>
          <w:color w:val="000000" w:themeColor="text1"/>
          <w:sz w:val="20"/>
          <w:szCs w:val="20"/>
        </w:rPr>
        <w:t>volunteer</w:t>
      </w:r>
      <w:r w:rsidRPr="00B20F2F">
        <w:rPr>
          <w:rFonts w:ascii="Verdana" w:eastAsia="Times New Roman" w:hAnsi="Verdana"/>
          <w:color w:val="000000" w:themeColor="text1"/>
          <w:sz w:val="20"/>
          <w:szCs w:val="20"/>
        </w:rPr>
        <w:t xml:space="preserve">, who was or is on a sex offender registry in any state. Other crimes are disqualifying as well if they suggest that a person poses a risk of harm to minors. </w:t>
      </w:r>
    </w:p>
    <w:p w14:paraId="1C5DBFED" w14:textId="77777777" w:rsidR="00602B31"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53989DCC" w14:textId="77777777" w:rsidR="00602B31" w:rsidRPr="007D3577" w:rsidRDefault="00602B31" w:rsidP="00602B31">
      <w:pPr>
        <w:widowControl w:val="0"/>
        <w:autoSpaceDE w:val="0"/>
        <w:autoSpaceDN w:val="0"/>
        <w:adjustRightInd w:val="0"/>
        <w:ind w:left="1440"/>
        <w:rPr>
          <w:rFonts w:ascii="Verdana" w:eastAsia="Times New Roman" w:hAnsi="Verdana"/>
          <w:i/>
          <w:iCs/>
          <w:color w:val="000000" w:themeColor="text1"/>
          <w:sz w:val="20"/>
          <w:szCs w:val="20"/>
        </w:rPr>
      </w:pPr>
      <w:r w:rsidRPr="007D3577">
        <w:rPr>
          <w:rFonts w:ascii="Verdana" w:eastAsia="Times New Roman" w:hAnsi="Verdana"/>
          <w:b/>
          <w:bCs/>
          <w:i/>
          <w:iCs/>
          <w:color w:val="000000" w:themeColor="text1"/>
          <w:sz w:val="20"/>
          <w:szCs w:val="20"/>
        </w:rPr>
        <w:t>Key point.</w:t>
      </w:r>
      <w:r w:rsidRPr="007D3577">
        <w:rPr>
          <w:rFonts w:ascii="Verdana" w:eastAsia="Times New Roman" w:hAnsi="Verdana"/>
          <w:i/>
          <w:iCs/>
          <w:color w:val="000000" w:themeColor="text1"/>
          <w:sz w:val="20"/>
          <w:szCs w:val="20"/>
        </w:rPr>
        <w:t xml:space="preserve"> If in doubt about the relevance of a particular crime, a good practice is to bar persons from youth or children’s ministry who would not be eligible to work as a public school employee. Your local public school district offices should be able to provide you with a list of disqualifying crimes.</w:t>
      </w:r>
    </w:p>
    <w:p w14:paraId="20EA7104" w14:textId="77777777" w:rsidR="00602B31"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5CFE76C6" w14:textId="77777777" w:rsidR="00602B31" w:rsidRPr="00B20F2F" w:rsidRDefault="00602B31" w:rsidP="00602B31">
      <w:pPr>
        <w:pStyle w:val="ListParagraph"/>
        <w:widowControl w:val="0"/>
        <w:numPr>
          <w:ilvl w:val="0"/>
          <w:numId w:val="3"/>
        </w:numPr>
        <w:autoSpaceDE w:val="0"/>
        <w:autoSpaceDN w:val="0"/>
        <w:adjustRightInd w:val="0"/>
        <w:ind w:left="1620" w:hanging="54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Prompt reporting of child abuse (known and suspected).</w:t>
      </w:r>
      <w:r w:rsidRPr="00B20F2F">
        <w:rPr>
          <w:rFonts w:ascii="Verdana" w:eastAsia="Times New Roman" w:hAnsi="Verdana"/>
          <w:color w:val="000000" w:themeColor="text1"/>
          <w:sz w:val="20"/>
          <w:szCs w:val="20"/>
        </w:rPr>
        <w:t xml:space="preserve"> It is imperative for church leaders to comply with their state’s child abuse reporting law. Promptly report all known and reasonably suspected cases of child sexual abuse to the designated state agency. In some states a report must be filed within 24 hours. Know the reporting requirement in your state. Be sure to make a telephone memorandum of your call, and  ideally have a second person listening in on the conversation who can sign the memorandum as a witness. Resolve any and all doubts in favor </w:t>
      </w:r>
      <w:r>
        <w:rPr>
          <w:rFonts w:ascii="Verdana" w:eastAsia="Times New Roman" w:hAnsi="Verdana"/>
          <w:color w:val="000000" w:themeColor="text1"/>
          <w:sz w:val="20"/>
          <w:szCs w:val="20"/>
        </w:rPr>
        <w:t>of</w:t>
      </w:r>
      <w:r w:rsidRPr="00B20F2F">
        <w:rPr>
          <w:rFonts w:ascii="Verdana" w:eastAsia="Times New Roman" w:hAnsi="Verdana"/>
          <w:color w:val="000000" w:themeColor="text1"/>
          <w:sz w:val="20"/>
          <w:szCs w:val="20"/>
        </w:rPr>
        <w:t xml:space="preserve"> reporting. Prompt reporting has several advantages:</w:t>
      </w:r>
    </w:p>
    <w:p w14:paraId="291F7F58" w14:textId="77777777" w:rsidR="00602B31" w:rsidRPr="00B20F2F" w:rsidRDefault="00602B31" w:rsidP="00602B31">
      <w:pPr>
        <w:pStyle w:val="ListParagraph"/>
        <w:widowControl w:val="0"/>
        <w:autoSpaceDE w:val="0"/>
        <w:autoSpaceDN w:val="0"/>
        <w:adjustRightInd w:val="0"/>
        <w:ind w:left="1620"/>
        <w:rPr>
          <w:rFonts w:ascii="Verdana" w:eastAsia="Times New Roman" w:hAnsi="Verdana"/>
          <w:b/>
          <w:color w:val="000000" w:themeColor="text1"/>
          <w:sz w:val="20"/>
          <w:szCs w:val="20"/>
        </w:rPr>
      </w:pPr>
    </w:p>
    <w:p w14:paraId="38651EA6"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It is required by law (for mandatory reporters).</w:t>
      </w:r>
    </w:p>
    <w:p w14:paraId="1A558B51"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You avoid misdemeanor liability for failure to report.</w:t>
      </w:r>
    </w:p>
    <w:p w14:paraId="5ECE6110"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You avoid civil liability in many states for not reporting.</w:t>
      </w:r>
    </w:p>
    <w:p w14:paraId="2E6E9D52"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Reporters are given immunity from liability in every state (except for malicious behavior).</w:t>
      </w:r>
    </w:p>
    <w:p w14:paraId="64962BF4"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You protect the current victim from further harm.</w:t>
      </w:r>
    </w:p>
    <w:p w14:paraId="70210F52"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You are placing the abuser’s identity in the criminal justice system, making it more likely that this</w:t>
      </w:r>
      <w:r>
        <w:rPr>
          <w:rFonts w:ascii="Verdana" w:eastAsia="Times New Roman" w:hAnsi="Verdana"/>
          <w:color w:val="000000" w:themeColor="text1"/>
          <w:sz w:val="20"/>
          <w:szCs w:val="20"/>
        </w:rPr>
        <w:t xml:space="preserve"> information </w:t>
      </w:r>
      <w:r w:rsidRPr="00B20F2F">
        <w:rPr>
          <w:rFonts w:ascii="Verdana" w:eastAsia="Times New Roman" w:hAnsi="Verdana"/>
          <w:color w:val="000000" w:themeColor="text1"/>
          <w:sz w:val="20"/>
          <w:szCs w:val="20"/>
        </w:rPr>
        <w:t xml:space="preserve">will be flagged to other </w:t>
      </w:r>
      <w:r w:rsidRPr="00B20F2F">
        <w:rPr>
          <w:rFonts w:ascii="Verdana" w:eastAsia="Times New Roman" w:hAnsi="Verdana"/>
          <w:color w:val="000000" w:themeColor="text1"/>
          <w:sz w:val="20"/>
          <w:szCs w:val="20"/>
        </w:rPr>
        <w:lastRenderedPageBreak/>
        <w:t xml:space="preserve">churches and youth-serving charities </w:t>
      </w:r>
      <w:r>
        <w:rPr>
          <w:rFonts w:ascii="Verdana" w:eastAsia="Times New Roman" w:hAnsi="Verdana"/>
          <w:color w:val="000000" w:themeColor="text1"/>
          <w:sz w:val="20"/>
          <w:szCs w:val="20"/>
        </w:rPr>
        <w:t>evaluating an applicant for youth or children’s ministry.</w:t>
      </w:r>
    </w:p>
    <w:p w14:paraId="3F55BB45" w14:textId="77777777" w:rsidR="00602B31" w:rsidRPr="00B20F2F" w:rsidRDefault="00602B31" w:rsidP="00602B31">
      <w:pPr>
        <w:pStyle w:val="ListParagraph"/>
        <w:widowControl w:val="0"/>
        <w:numPr>
          <w:ilvl w:val="0"/>
          <w:numId w:val="4"/>
        </w:numPr>
        <w:autoSpaceDE w:val="0"/>
        <w:autoSpaceDN w:val="0"/>
        <w:adjustRightInd w:val="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You minimize the risk of public outrage that can be unleashed if your church failed to report</w:t>
      </w:r>
      <w:r>
        <w:rPr>
          <w:rFonts w:ascii="Verdana" w:eastAsia="Times New Roman" w:hAnsi="Verdana"/>
          <w:color w:val="000000" w:themeColor="text1"/>
          <w:sz w:val="20"/>
          <w:szCs w:val="20"/>
        </w:rPr>
        <w:t xml:space="preserve"> </w:t>
      </w:r>
      <w:r w:rsidRPr="00B20F2F">
        <w:rPr>
          <w:rFonts w:ascii="Verdana" w:eastAsia="Times New Roman" w:hAnsi="Verdana"/>
          <w:color w:val="000000" w:themeColor="text1"/>
          <w:sz w:val="20"/>
          <w:szCs w:val="20"/>
        </w:rPr>
        <w:t>abuse to the state</w:t>
      </w:r>
      <w:r>
        <w:rPr>
          <w:rFonts w:ascii="Verdana" w:eastAsia="Times New Roman" w:hAnsi="Verdana"/>
          <w:color w:val="000000" w:themeColor="text1"/>
          <w:sz w:val="20"/>
          <w:szCs w:val="20"/>
        </w:rPr>
        <w:t xml:space="preserve"> and the offender later molests other minors.</w:t>
      </w:r>
    </w:p>
    <w:p w14:paraId="56FE10EB" w14:textId="77777777" w:rsidR="00602B31" w:rsidRPr="006E2795" w:rsidRDefault="00602B31" w:rsidP="00602B31">
      <w:pPr>
        <w:pStyle w:val="ListParagraph"/>
        <w:widowControl w:val="0"/>
        <w:autoSpaceDE w:val="0"/>
        <w:autoSpaceDN w:val="0"/>
        <w:adjustRightInd w:val="0"/>
        <w:ind w:left="1980"/>
        <w:rPr>
          <w:rFonts w:ascii="Verdana" w:eastAsia="Times New Roman" w:hAnsi="Verdana"/>
          <w:b/>
          <w:bCs/>
          <w:color w:val="000000" w:themeColor="text1"/>
          <w:sz w:val="20"/>
          <w:szCs w:val="20"/>
        </w:rPr>
      </w:pPr>
    </w:p>
    <w:p w14:paraId="6BDBF2D1" w14:textId="77777777" w:rsidR="00602B31" w:rsidRPr="006E2795" w:rsidRDefault="00602B31" w:rsidP="00602B31">
      <w:pPr>
        <w:pStyle w:val="ListParagraph"/>
        <w:widowControl w:val="0"/>
        <w:autoSpaceDE w:val="0"/>
        <w:autoSpaceDN w:val="0"/>
        <w:adjustRightInd w:val="0"/>
        <w:ind w:left="1980"/>
        <w:rPr>
          <w:rFonts w:ascii="Verdana" w:eastAsia="Times New Roman" w:hAnsi="Verdana"/>
          <w:i/>
          <w:iCs/>
          <w:color w:val="000000" w:themeColor="text1"/>
          <w:sz w:val="20"/>
          <w:szCs w:val="20"/>
        </w:rPr>
      </w:pPr>
      <w:r w:rsidRPr="006E2795">
        <w:rPr>
          <w:rFonts w:ascii="Verdana" w:eastAsia="Times New Roman" w:hAnsi="Verdana"/>
          <w:b/>
          <w:bCs/>
          <w:i/>
          <w:iCs/>
          <w:color w:val="000000" w:themeColor="text1"/>
          <w:sz w:val="20"/>
          <w:szCs w:val="20"/>
        </w:rPr>
        <w:t>Key point.</w:t>
      </w:r>
      <w:r w:rsidRPr="006E2795">
        <w:rPr>
          <w:rFonts w:ascii="Verdana" w:eastAsia="Times New Roman" w:hAnsi="Verdana"/>
          <w:i/>
          <w:iCs/>
          <w:color w:val="000000" w:themeColor="text1"/>
          <w:sz w:val="20"/>
          <w:szCs w:val="20"/>
        </w:rPr>
        <w:t xml:space="preserve"> Child abuse reporting laws do not require churches to conduct investigations into allegations</w:t>
      </w:r>
      <w:r>
        <w:rPr>
          <w:rFonts w:ascii="Verdana" w:eastAsia="Times New Roman" w:hAnsi="Verdana"/>
          <w:i/>
          <w:iCs/>
          <w:color w:val="000000" w:themeColor="text1"/>
          <w:sz w:val="20"/>
          <w:szCs w:val="20"/>
        </w:rPr>
        <w:t xml:space="preserve"> or suspicions</w:t>
      </w:r>
      <w:r w:rsidRPr="006E2795">
        <w:rPr>
          <w:rFonts w:ascii="Verdana" w:eastAsia="Times New Roman" w:hAnsi="Verdana"/>
          <w:i/>
          <w:iCs/>
          <w:color w:val="000000" w:themeColor="text1"/>
          <w:sz w:val="20"/>
          <w:szCs w:val="20"/>
        </w:rPr>
        <w:t xml:space="preserve"> of abuse. The only requirement for church leaders is to determine if reasonable cause exists that child abuse has occurred.</w:t>
      </w:r>
    </w:p>
    <w:p w14:paraId="6FFF27E5" w14:textId="77777777" w:rsidR="00602B31" w:rsidRPr="00B20F2F" w:rsidRDefault="00602B31" w:rsidP="00602B31">
      <w:pPr>
        <w:pStyle w:val="ListParagraph"/>
        <w:widowControl w:val="0"/>
        <w:autoSpaceDE w:val="0"/>
        <w:autoSpaceDN w:val="0"/>
        <w:adjustRightInd w:val="0"/>
        <w:ind w:left="1980"/>
        <w:rPr>
          <w:rFonts w:ascii="Verdana" w:eastAsia="Times New Roman" w:hAnsi="Verdana"/>
          <w:color w:val="000000" w:themeColor="text1"/>
          <w:sz w:val="20"/>
          <w:szCs w:val="20"/>
        </w:rPr>
      </w:pPr>
    </w:p>
    <w:p w14:paraId="2AAA72A8" w14:textId="77777777" w:rsidR="00602B31" w:rsidRPr="00B20F2F" w:rsidRDefault="00602B31" w:rsidP="00602B31">
      <w:pPr>
        <w:pStyle w:val="ListParagraph"/>
        <w:widowControl w:val="0"/>
        <w:numPr>
          <w:ilvl w:val="0"/>
          <w:numId w:val="3"/>
        </w:numPr>
        <w:autoSpaceDE w:val="0"/>
        <w:autoSpaceDN w:val="0"/>
        <w:adjustRightInd w:val="0"/>
        <w:ind w:left="1620" w:hanging="540"/>
        <w:rPr>
          <w:rFonts w:ascii="Verdana" w:eastAsia="Times New Roman" w:hAnsi="Verdana"/>
          <w:color w:val="000000" w:themeColor="text1"/>
          <w:sz w:val="20"/>
          <w:szCs w:val="20"/>
        </w:rPr>
      </w:pPr>
      <w:r w:rsidRPr="00B20F2F">
        <w:rPr>
          <w:rFonts w:ascii="Verdana" w:eastAsia="Times New Roman" w:hAnsi="Verdana"/>
          <w:b/>
          <w:color w:val="000000" w:themeColor="text1"/>
          <w:sz w:val="20"/>
          <w:szCs w:val="20"/>
        </w:rPr>
        <w:t>Promptly address and halt high-risk behaviors.</w:t>
      </w:r>
      <w:r w:rsidRPr="00B20F2F">
        <w:rPr>
          <w:rFonts w:ascii="Verdana" w:eastAsia="Times New Roman" w:hAnsi="Verdana"/>
          <w:color w:val="000000" w:themeColor="text1"/>
          <w:sz w:val="20"/>
          <w:szCs w:val="20"/>
        </w:rPr>
        <w:t xml:space="preserve"> Often, those who molest minors in churches or church activities have openly engaged in high-risk behaviors, including:</w:t>
      </w:r>
    </w:p>
    <w:p w14:paraId="67FD5140" w14:textId="77777777" w:rsidR="00602B31" w:rsidRPr="00B20F2F" w:rsidRDefault="00602B31" w:rsidP="00602B31">
      <w:pPr>
        <w:pStyle w:val="ListParagraph"/>
        <w:widowControl w:val="0"/>
        <w:autoSpaceDE w:val="0"/>
        <w:autoSpaceDN w:val="0"/>
        <w:adjustRightInd w:val="0"/>
        <w:ind w:left="1620"/>
        <w:rPr>
          <w:rFonts w:ascii="Verdana" w:eastAsia="Times New Roman" w:hAnsi="Verdana"/>
          <w:color w:val="000000" w:themeColor="text1"/>
          <w:sz w:val="20"/>
          <w:szCs w:val="20"/>
        </w:rPr>
      </w:pPr>
    </w:p>
    <w:p w14:paraId="7C22E341" w14:textId="77777777" w:rsidR="00602B31"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Pr>
          <w:rFonts w:ascii="Verdana" w:eastAsia="Times New Roman" w:hAnsi="Verdana"/>
          <w:color w:val="000000" w:themeColor="text1"/>
          <w:sz w:val="20"/>
          <w:szCs w:val="20"/>
        </w:rPr>
        <w:t>Minors spending time in the home of a youth or children’s ministry leader.</w:t>
      </w:r>
    </w:p>
    <w:p w14:paraId="6175411A"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Minors spending the night in a leader’s home.</w:t>
      </w:r>
    </w:p>
    <w:p w14:paraId="6A4F7276"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An adult leader drives a vehicle with one or more unrelated minors on board, and no other adults.</w:t>
      </w:r>
    </w:p>
    <w:p w14:paraId="04E707EA"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An adult goes on day trips with an unrelated minor.</w:t>
      </w:r>
    </w:p>
    <w:p w14:paraId="2E2756D4"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An adult goes on overnight trips with an unrelated minor.</w:t>
      </w:r>
    </w:p>
    <w:p w14:paraId="363ACD0C"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 leader spends the night in a hotel with one or more unrelated minors.</w:t>
      </w:r>
    </w:p>
    <w:p w14:paraId="08D90A86" w14:textId="77777777" w:rsidR="00602B31" w:rsidRPr="00B20F2F"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 leader meets one or more minors in malls  or other places where minors congregate.</w:t>
      </w:r>
    </w:p>
    <w:p w14:paraId="09755CE6" w14:textId="77777777" w:rsidR="00602B31"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An adult leader sleeps in a tent with an unrelated minor during a campout.</w:t>
      </w:r>
    </w:p>
    <w:p w14:paraId="76798917" w14:textId="77777777" w:rsidR="00602B31"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Pr>
          <w:rFonts w:ascii="Verdana" w:eastAsia="Times New Roman" w:hAnsi="Verdana"/>
          <w:color w:val="000000" w:themeColor="text1"/>
          <w:sz w:val="20"/>
          <w:szCs w:val="20"/>
        </w:rPr>
        <w:t>An adult provides unrelated minors with gifts.</w:t>
      </w:r>
    </w:p>
    <w:p w14:paraId="2F8D37A2" w14:textId="77777777" w:rsidR="00602B31" w:rsidRDefault="00602B31" w:rsidP="00602B31">
      <w:pPr>
        <w:pStyle w:val="ListParagraph"/>
        <w:widowControl w:val="0"/>
        <w:autoSpaceDE w:val="0"/>
        <w:autoSpaceDN w:val="0"/>
        <w:adjustRightInd w:val="0"/>
        <w:ind w:left="1620"/>
        <w:rPr>
          <w:rFonts w:ascii="Verdana" w:eastAsia="Times New Roman" w:hAnsi="Verdana"/>
          <w:color w:val="000000" w:themeColor="text1"/>
          <w:sz w:val="20"/>
          <w:szCs w:val="20"/>
        </w:rPr>
      </w:pPr>
    </w:p>
    <w:p w14:paraId="579C1A7E" w14:textId="77777777" w:rsidR="00602B31" w:rsidRPr="008576D8" w:rsidRDefault="00602B31" w:rsidP="00602B31">
      <w:pPr>
        <w:pStyle w:val="ListParagraph"/>
        <w:widowControl w:val="0"/>
        <w:autoSpaceDE w:val="0"/>
        <w:autoSpaceDN w:val="0"/>
        <w:adjustRightInd w:val="0"/>
        <w:ind w:left="1620"/>
        <w:rPr>
          <w:rFonts w:ascii="Verdana" w:eastAsia="Times New Roman" w:hAnsi="Verdana"/>
          <w:color w:val="000000" w:themeColor="text1"/>
          <w:sz w:val="20"/>
          <w:szCs w:val="20"/>
        </w:rPr>
      </w:pPr>
      <w:r w:rsidRPr="008576D8">
        <w:rPr>
          <w:rFonts w:ascii="Verdana" w:eastAsia="Times New Roman" w:hAnsi="Verdana"/>
          <w:color w:val="000000" w:themeColor="text1"/>
          <w:sz w:val="20"/>
          <w:szCs w:val="20"/>
        </w:rPr>
        <w:t>These, and similar, “grooming” behaviors are associated with many incidents of sexual abuse involving youth and children’s ministry leaders in churches. It is imperative that they be promptly confronted and stopped.</w:t>
      </w:r>
    </w:p>
    <w:p w14:paraId="1AB1290B" w14:textId="77777777" w:rsidR="00602B31" w:rsidRDefault="00602B31" w:rsidP="00602B31">
      <w:pPr>
        <w:widowControl w:val="0"/>
        <w:autoSpaceDE w:val="0"/>
        <w:autoSpaceDN w:val="0"/>
        <w:adjustRightInd w:val="0"/>
        <w:ind w:left="1620"/>
        <w:rPr>
          <w:rFonts w:ascii="Verdana" w:eastAsia="Times New Roman" w:hAnsi="Verdana"/>
          <w:color w:val="000000" w:themeColor="text1"/>
          <w:sz w:val="20"/>
          <w:szCs w:val="20"/>
        </w:rPr>
      </w:pPr>
    </w:p>
    <w:p w14:paraId="19805999" w14:textId="77777777" w:rsidR="00602B31" w:rsidRDefault="00602B31" w:rsidP="00602B31">
      <w:pPr>
        <w:pStyle w:val="ListParagraph"/>
        <w:widowControl w:val="0"/>
        <w:numPr>
          <w:ilvl w:val="0"/>
          <w:numId w:val="3"/>
        </w:numPr>
        <w:autoSpaceDE w:val="0"/>
        <w:autoSpaceDN w:val="0"/>
        <w:adjustRightInd w:val="0"/>
        <w:rPr>
          <w:rFonts w:ascii="Verdana" w:eastAsia="Times New Roman" w:hAnsi="Verdana"/>
          <w:color w:val="000000" w:themeColor="text1"/>
          <w:sz w:val="20"/>
          <w:szCs w:val="20"/>
        </w:rPr>
      </w:pPr>
      <w:r w:rsidRPr="00C11221">
        <w:rPr>
          <w:rFonts w:ascii="Verdana" w:eastAsia="Times New Roman" w:hAnsi="Verdana"/>
          <w:b/>
          <w:color w:val="000000" w:themeColor="text1"/>
          <w:sz w:val="20"/>
          <w:szCs w:val="20"/>
        </w:rPr>
        <w:t>Social media.</w:t>
      </w:r>
      <w:r w:rsidRPr="00C11221">
        <w:rPr>
          <w:rFonts w:ascii="Verdana" w:eastAsia="Times New Roman" w:hAnsi="Verdana"/>
          <w:color w:val="000000" w:themeColor="text1"/>
          <w:sz w:val="20"/>
          <w:szCs w:val="20"/>
        </w:rPr>
        <w:t xml:space="preserve"> As a “best practice,” churches should prohibit </w:t>
      </w:r>
      <w:r>
        <w:rPr>
          <w:rFonts w:ascii="Verdana" w:eastAsia="Times New Roman" w:hAnsi="Verdana"/>
          <w:color w:val="000000" w:themeColor="text1"/>
          <w:sz w:val="20"/>
          <w:szCs w:val="20"/>
        </w:rPr>
        <w:t xml:space="preserve">any </w:t>
      </w:r>
      <w:r w:rsidRPr="00C11221">
        <w:rPr>
          <w:rFonts w:ascii="Verdana" w:eastAsia="Times New Roman" w:hAnsi="Verdana"/>
          <w:color w:val="000000" w:themeColor="text1"/>
          <w:sz w:val="20"/>
          <w:szCs w:val="20"/>
        </w:rPr>
        <w:t>private messaging on any social media platform</w:t>
      </w:r>
      <w:r>
        <w:rPr>
          <w:rFonts w:ascii="Verdana" w:eastAsia="Times New Roman" w:hAnsi="Verdana"/>
          <w:color w:val="000000" w:themeColor="text1"/>
          <w:sz w:val="20"/>
          <w:szCs w:val="20"/>
        </w:rPr>
        <w:t xml:space="preserve"> </w:t>
      </w:r>
      <w:r w:rsidRPr="00C11221">
        <w:rPr>
          <w:rFonts w:ascii="Verdana" w:eastAsia="Times New Roman" w:hAnsi="Verdana"/>
          <w:color w:val="000000" w:themeColor="text1"/>
          <w:sz w:val="20"/>
          <w:szCs w:val="20"/>
        </w:rPr>
        <w:t>by a youth</w:t>
      </w:r>
      <w:r>
        <w:rPr>
          <w:rFonts w:ascii="Verdana" w:eastAsia="Times New Roman" w:hAnsi="Verdana"/>
          <w:color w:val="000000" w:themeColor="text1"/>
          <w:sz w:val="20"/>
          <w:szCs w:val="20"/>
        </w:rPr>
        <w:t xml:space="preserve"> or children’s</w:t>
      </w:r>
      <w:r w:rsidRPr="00C11221">
        <w:rPr>
          <w:rFonts w:ascii="Verdana" w:eastAsia="Times New Roman" w:hAnsi="Verdana"/>
          <w:color w:val="000000" w:themeColor="text1"/>
          <w:sz w:val="20"/>
          <w:szCs w:val="20"/>
        </w:rPr>
        <w:t xml:space="preserve"> pastor or lay volunteer with </w:t>
      </w:r>
      <w:r>
        <w:rPr>
          <w:rFonts w:ascii="Verdana" w:eastAsia="Times New Roman" w:hAnsi="Verdana"/>
          <w:color w:val="000000" w:themeColor="text1"/>
          <w:sz w:val="20"/>
          <w:szCs w:val="20"/>
        </w:rPr>
        <w:t xml:space="preserve">unrelated </w:t>
      </w:r>
      <w:r w:rsidRPr="00C11221">
        <w:rPr>
          <w:rFonts w:ascii="Verdana" w:eastAsia="Times New Roman" w:hAnsi="Verdana"/>
          <w:color w:val="000000" w:themeColor="text1"/>
          <w:sz w:val="20"/>
          <w:szCs w:val="20"/>
        </w:rPr>
        <w:t xml:space="preserve">minors. For support, contact your local public school district and find out what if any restrictions they place on communications between teachers and students. </w:t>
      </w:r>
      <w:r>
        <w:rPr>
          <w:rFonts w:ascii="Verdana" w:eastAsia="Times New Roman" w:hAnsi="Verdana"/>
          <w:color w:val="000000" w:themeColor="text1"/>
          <w:sz w:val="20"/>
          <w:szCs w:val="20"/>
        </w:rPr>
        <w:t>Often, such communications are prohibited.</w:t>
      </w:r>
    </w:p>
    <w:p w14:paraId="6BFA0AD0"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p>
    <w:p w14:paraId="727DAB4C" w14:textId="77777777" w:rsidR="00602B31" w:rsidRPr="00C66D50" w:rsidRDefault="00602B31" w:rsidP="00602B31">
      <w:pPr>
        <w:widowControl w:val="0"/>
        <w:autoSpaceDE w:val="0"/>
        <w:autoSpaceDN w:val="0"/>
        <w:adjustRightInd w:val="0"/>
        <w:ind w:left="1440" w:hanging="360"/>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12. </w:t>
      </w:r>
      <w:r w:rsidRPr="00C66D50">
        <w:rPr>
          <w:rFonts w:ascii="Verdana" w:eastAsia="Times New Roman" w:hAnsi="Verdana"/>
          <w:b/>
          <w:bCs/>
          <w:color w:val="000000" w:themeColor="text1"/>
          <w:sz w:val="20"/>
          <w:szCs w:val="20"/>
        </w:rPr>
        <w:t>Video technology</w:t>
      </w:r>
      <w:r>
        <w:rPr>
          <w:rFonts w:ascii="Verdana" w:eastAsia="Times New Roman" w:hAnsi="Verdana"/>
          <w:b/>
          <w:bCs/>
          <w:color w:val="000000" w:themeColor="text1"/>
          <w:sz w:val="20"/>
          <w:szCs w:val="20"/>
        </w:rPr>
        <w:t>.</w:t>
      </w:r>
      <w:r>
        <w:rPr>
          <w:rFonts w:ascii="Verdana" w:eastAsia="Times New Roman" w:hAnsi="Verdana"/>
          <w:color w:val="000000" w:themeColor="text1"/>
          <w:sz w:val="20"/>
          <w:szCs w:val="20"/>
        </w:rPr>
        <w:t xml:space="preserve"> </w:t>
      </w:r>
      <w:r w:rsidRPr="00C66D50">
        <w:rPr>
          <w:rFonts w:ascii="Verdana" w:eastAsia="Times New Roman" w:hAnsi="Verdana"/>
          <w:color w:val="000000" w:themeColor="text1"/>
          <w:sz w:val="20"/>
          <w:szCs w:val="20"/>
        </w:rPr>
        <w:t>The installation of video cameras in strategic locations can serve as a powerful deterrent to child molesters, and can reduce a church’s risk of negligent supervision. Video technology has become affordable for most churches, and should be considered by all churches as both a powerful deterrent and a means of proving or disproving alleged misconduct.</w:t>
      </w:r>
      <w:r>
        <w:rPr>
          <w:rFonts w:ascii="Verdana" w:eastAsia="Times New Roman" w:hAnsi="Verdana"/>
          <w:color w:val="000000" w:themeColor="text1"/>
          <w:sz w:val="20"/>
          <w:szCs w:val="20"/>
        </w:rPr>
        <w:t xml:space="preserve"> </w:t>
      </w:r>
      <w:r w:rsidRPr="00C66D50">
        <w:rPr>
          <w:rFonts w:ascii="Verdana" w:eastAsia="Times New Roman" w:hAnsi="Verdana"/>
          <w:color w:val="000000" w:themeColor="text1"/>
          <w:sz w:val="20"/>
          <w:szCs w:val="20"/>
        </w:rPr>
        <w:t>Consider the following uses:</w:t>
      </w:r>
    </w:p>
    <w:p w14:paraId="5A216570" w14:textId="77777777" w:rsidR="00602B31" w:rsidRPr="00C66D50" w:rsidRDefault="00602B31" w:rsidP="00602B31">
      <w:pPr>
        <w:widowControl w:val="0"/>
        <w:autoSpaceDE w:val="0"/>
        <w:autoSpaceDN w:val="0"/>
        <w:adjustRightInd w:val="0"/>
        <w:ind w:left="1080"/>
        <w:rPr>
          <w:rFonts w:ascii="Verdana" w:eastAsia="Times New Roman" w:hAnsi="Verdana"/>
          <w:color w:val="000000" w:themeColor="text1"/>
          <w:sz w:val="20"/>
          <w:szCs w:val="20"/>
        </w:rPr>
      </w:pPr>
    </w:p>
    <w:p w14:paraId="4E3D6A01" w14:textId="77777777" w:rsidR="00602B31" w:rsidRPr="00C66D50"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C66D50">
        <w:rPr>
          <w:rFonts w:ascii="Verdana" w:eastAsia="Times New Roman" w:hAnsi="Verdana"/>
          <w:color w:val="000000" w:themeColor="text1"/>
          <w:sz w:val="20"/>
          <w:szCs w:val="20"/>
        </w:rPr>
        <w:t>Video cameras are</w:t>
      </w:r>
      <w:r>
        <w:rPr>
          <w:rFonts w:ascii="Verdana" w:eastAsia="Times New Roman" w:hAnsi="Verdana"/>
          <w:color w:val="000000" w:themeColor="text1"/>
          <w:sz w:val="20"/>
          <w:szCs w:val="20"/>
        </w:rPr>
        <w:t xml:space="preserve"> especially</w:t>
      </w:r>
      <w:r w:rsidRPr="00C66D50">
        <w:rPr>
          <w:rFonts w:ascii="Verdana" w:eastAsia="Times New Roman" w:hAnsi="Verdana"/>
          <w:color w:val="000000" w:themeColor="text1"/>
          <w:sz w:val="20"/>
          <w:szCs w:val="20"/>
        </w:rPr>
        <w:t xml:space="preserve"> helpful in a church’s nurser</w:t>
      </w:r>
      <w:r>
        <w:rPr>
          <w:rFonts w:ascii="Verdana" w:eastAsia="Times New Roman" w:hAnsi="Verdana"/>
          <w:color w:val="000000" w:themeColor="text1"/>
          <w:sz w:val="20"/>
          <w:szCs w:val="20"/>
        </w:rPr>
        <w:t>y</w:t>
      </w:r>
      <w:r w:rsidRPr="00C66D50">
        <w:rPr>
          <w:rFonts w:ascii="Verdana" w:eastAsia="Times New Roman" w:hAnsi="Verdana"/>
          <w:color w:val="000000" w:themeColor="text1"/>
          <w:sz w:val="20"/>
          <w:szCs w:val="20"/>
        </w:rPr>
        <w:t xml:space="preserve"> since infants and very young children are present who are incapable of explaining symptoms of </w:t>
      </w:r>
      <w:r>
        <w:rPr>
          <w:rFonts w:ascii="Verdana" w:eastAsia="Times New Roman" w:hAnsi="Verdana"/>
          <w:color w:val="000000" w:themeColor="text1"/>
          <w:sz w:val="20"/>
          <w:szCs w:val="20"/>
        </w:rPr>
        <w:t>abuse</w:t>
      </w:r>
      <w:r w:rsidRPr="00C66D50">
        <w:rPr>
          <w:rFonts w:ascii="Verdana" w:eastAsia="Times New Roman" w:hAnsi="Verdana"/>
          <w:color w:val="000000" w:themeColor="text1"/>
          <w:sz w:val="20"/>
          <w:szCs w:val="20"/>
        </w:rPr>
        <w:t xml:space="preserve">. In such cases, innocent nursery workers may be suspected who lack the ability to conclusively prove their innocence. Video cameras can be helpful in documenting how symptoms of </w:t>
      </w:r>
      <w:r>
        <w:rPr>
          <w:rFonts w:ascii="Verdana" w:eastAsia="Times New Roman" w:hAnsi="Verdana"/>
          <w:color w:val="000000" w:themeColor="text1"/>
          <w:sz w:val="20"/>
          <w:szCs w:val="20"/>
        </w:rPr>
        <w:t xml:space="preserve">abuse </w:t>
      </w:r>
      <w:r w:rsidRPr="00C66D50">
        <w:rPr>
          <w:rFonts w:ascii="Verdana" w:eastAsia="Times New Roman" w:hAnsi="Verdana"/>
          <w:color w:val="000000" w:themeColor="text1"/>
          <w:sz w:val="20"/>
          <w:szCs w:val="20"/>
        </w:rPr>
        <w:t>may have occurred, and in proving the innocence or guilt of nursery workers.</w:t>
      </w:r>
    </w:p>
    <w:p w14:paraId="25188CEB" w14:textId="77777777" w:rsidR="00602B31" w:rsidRPr="00C66D50" w:rsidRDefault="00602B31" w:rsidP="00602B31">
      <w:pPr>
        <w:widowControl w:val="0"/>
        <w:autoSpaceDE w:val="0"/>
        <w:autoSpaceDN w:val="0"/>
        <w:adjustRightInd w:val="0"/>
        <w:ind w:left="1440"/>
        <w:rPr>
          <w:rFonts w:ascii="Verdana" w:eastAsia="Times New Roman" w:hAnsi="Verdana"/>
          <w:color w:val="000000" w:themeColor="text1"/>
          <w:sz w:val="20"/>
          <w:szCs w:val="20"/>
        </w:rPr>
      </w:pPr>
    </w:p>
    <w:p w14:paraId="39E2E412" w14:textId="77777777" w:rsidR="00602B31" w:rsidRPr="00C66D50" w:rsidRDefault="00602B31" w:rsidP="00602B31">
      <w:pPr>
        <w:pStyle w:val="ListParagraph"/>
        <w:widowControl w:val="0"/>
        <w:numPr>
          <w:ilvl w:val="0"/>
          <w:numId w:val="5"/>
        </w:numPr>
        <w:autoSpaceDE w:val="0"/>
        <w:autoSpaceDN w:val="0"/>
        <w:adjustRightInd w:val="0"/>
        <w:ind w:left="1980"/>
        <w:rPr>
          <w:rFonts w:ascii="Verdana" w:eastAsia="Times New Roman" w:hAnsi="Verdana"/>
          <w:color w:val="000000" w:themeColor="text1"/>
          <w:sz w:val="20"/>
          <w:szCs w:val="20"/>
        </w:rPr>
      </w:pPr>
      <w:r w:rsidRPr="00C66D50">
        <w:rPr>
          <w:rFonts w:ascii="Verdana" w:eastAsia="Times New Roman" w:hAnsi="Verdana"/>
          <w:color w:val="000000" w:themeColor="text1"/>
          <w:sz w:val="20"/>
          <w:szCs w:val="20"/>
        </w:rPr>
        <w:t>Church restrooms present a unique risk of molestation for both infants and older children. After all, they are frequented by children, they are easily accessible, and they often are in remote locations or are not adequately supervised. A video camera in a hallway outside a restroom</w:t>
      </w:r>
      <w:r>
        <w:rPr>
          <w:rFonts w:ascii="Verdana" w:eastAsia="Times New Roman" w:hAnsi="Verdana"/>
          <w:color w:val="000000" w:themeColor="text1"/>
          <w:sz w:val="20"/>
          <w:szCs w:val="20"/>
        </w:rPr>
        <w:t xml:space="preserve"> </w:t>
      </w:r>
      <w:r w:rsidRPr="00C66D50">
        <w:rPr>
          <w:rFonts w:ascii="Verdana" w:eastAsia="Times New Roman" w:hAnsi="Verdana"/>
          <w:color w:val="000000" w:themeColor="text1"/>
          <w:sz w:val="20"/>
          <w:szCs w:val="20"/>
        </w:rPr>
        <w:t xml:space="preserve"> that is frequented by minors can be a powerful deterrent to child molesters. It also will provide church leaders and local authorities with evidence in the event that a minor is molested in a church restroom.</w:t>
      </w:r>
    </w:p>
    <w:p w14:paraId="50545211" w14:textId="77777777" w:rsidR="00602B31" w:rsidRPr="00B20F2F" w:rsidRDefault="00602B31" w:rsidP="00602B31">
      <w:pPr>
        <w:widowControl w:val="0"/>
        <w:autoSpaceDE w:val="0"/>
        <w:autoSpaceDN w:val="0"/>
        <w:adjustRightInd w:val="0"/>
        <w:rPr>
          <w:rFonts w:ascii="Verdana" w:eastAsia="Times New Roman" w:hAnsi="Verdana"/>
          <w:color w:val="000000" w:themeColor="text1"/>
          <w:sz w:val="20"/>
          <w:szCs w:val="20"/>
        </w:rPr>
      </w:pPr>
    </w:p>
    <w:p w14:paraId="4DDD339C" w14:textId="77777777" w:rsidR="00602B31" w:rsidRDefault="00602B31" w:rsidP="00602B31">
      <w:pPr>
        <w:ind w:left="1440" w:hanging="360"/>
        <w:jc w:val="both"/>
        <w:rPr>
          <w:rFonts w:ascii="Verdana" w:eastAsia="Times New Roman" w:hAnsi="Verdana"/>
          <w:color w:val="000000" w:themeColor="text1"/>
          <w:sz w:val="20"/>
          <w:szCs w:val="20"/>
        </w:rPr>
      </w:pPr>
      <w:r w:rsidRPr="00B20F2F">
        <w:rPr>
          <w:rFonts w:ascii="Verdana" w:eastAsia="Times New Roman" w:hAnsi="Verdana"/>
          <w:color w:val="000000" w:themeColor="text1"/>
          <w:sz w:val="20"/>
          <w:szCs w:val="20"/>
        </w:rPr>
        <w:t>1</w:t>
      </w:r>
      <w:r>
        <w:rPr>
          <w:rFonts w:ascii="Verdana" w:eastAsia="Times New Roman" w:hAnsi="Verdana"/>
          <w:color w:val="000000" w:themeColor="text1"/>
          <w:sz w:val="20"/>
          <w:szCs w:val="20"/>
        </w:rPr>
        <w:t>3</w:t>
      </w:r>
      <w:r w:rsidRPr="00B20F2F">
        <w:rPr>
          <w:rFonts w:ascii="Verdana" w:eastAsia="Times New Roman" w:hAnsi="Verdana"/>
          <w:color w:val="000000" w:themeColor="text1"/>
          <w:sz w:val="20"/>
          <w:szCs w:val="20"/>
        </w:rPr>
        <w:t>.</w:t>
      </w:r>
      <w:r w:rsidRPr="00B20F2F">
        <w:rPr>
          <w:rFonts w:ascii="Verdana" w:eastAsia="Times New Roman" w:hAnsi="Verdana"/>
          <w:color w:val="000000" w:themeColor="text1"/>
          <w:sz w:val="20"/>
          <w:szCs w:val="20"/>
        </w:rPr>
        <w:tab/>
      </w:r>
      <w:r w:rsidRPr="00B20F2F">
        <w:rPr>
          <w:rFonts w:ascii="Verdana" w:eastAsia="Times New Roman" w:hAnsi="Verdana"/>
          <w:b/>
          <w:color w:val="000000" w:themeColor="text1"/>
          <w:sz w:val="20"/>
          <w:szCs w:val="20"/>
        </w:rPr>
        <w:t>Training.</w:t>
      </w:r>
      <w:r w:rsidRPr="00B20F2F">
        <w:rPr>
          <w:rFonts w:ascii="Verdana" w:eastAsia="Times New Roman" w:hAnsi="Verdana"/>
          <w:color w:val="000000" w:themeColor="text1"/>
          <w:sz w:val="20"/>
          <w:szCs w:val="20"/>
        </w:rPr>
        <w:t xml:space="preserve"> Churches should conduct periodic training of employees and volunteers on recognizing and reporting child abuse, the identification of abused minors, and the importance of familiarity with the 1</w:t>
      </w:r>
      <w:r>
        <w:rPr>
          <w:rFonts w:ascii="Verdana" w:eastAsia="Times New Roman" w:hAnsi="Verdana"/>
          <w:color w:val="000000" w:themeColor="text1"/>
          <w:sz w:val="20"/>
          <w:szCs w:val="20"/>
        </w:rPr>
        <w:t>4</w:t>
      </w:r>
      <w:r w:rsidRPr="00B20F2F">
        <w:rPr>
          <w:rFonts w:ascii="Verdana" w:eastAsia="Times New Roman" w:hAnsi="Verdana"/>
          <w:color w:val="000000" w:themeColor="text1"/>
          <w:sz w:val="20"/>
          <w:szCs w:val="20"/>
        </w:rPr>
        <w:t xml:space="preserve"> recommendations summarized</w:t>
      </w:r>
      <w:r>
        <w:rPr>
          <w:rFonts w:ascii="Verdana" w:eastAsia="Times New Roman" w:hAnsi="Verdana"/>
          <w:color w:val="000000" w:themeColor="text1"/>
          <w:sz w:val="20"/>
          <w:szCs w:val="20"/>
        </w:rPr>
        <w:t xml:space="preserve"> in this document.</w:t>
      </w:r>
      <w:r w:rsidRPr="00B20F2F">
        <w:rPr>
          <w:rFonts w:ascii="Verdana" w:eastAsia="Times New Roman" w:hAnsi="Verdana"/>
          <w:color w:val="000000" w:themeColor="text1"/>
          <w:sz w:val="20"/>
          <w:szCs w:val="20"/>
        </w:rPr>
        <w:t xml:space="preserve"> </w:t>
      </w:r>
      <w:r>
        <w:rPr>
          <w:rFonts w:ascii="Verdana" w:eastAsia="Times New Roman" w:hAnsi="Verdana"/>
          <w:color w:val="000000" w:themeColor="text1"/>
          <w:sz w:val="20"/>
          <w:szCs w:val="20"/>
        </w:rPr>
        <w:t>It is a “best practice” to incorporate employees of your child abuse hotline office, and employees of your prosecuting attorney’s office, in your training.</w:t>
      </w:r>
    </w:p>
    <w:p w14:paraId="3A11D4EB" w14:textId="77777777" w:rsidR="00602B31" w:rsidRDefault="00602B31" w:rsidP="00602B31">
      <w:pPr>
        <w:ind w:left="1440" w:hanging="360"/>
        <w:jc w:val="both"/>
        <w:rPr>
          <w:rFonts w:ascii="Verdana" w:eastAsia="Times New Roman" w:hAnsi="Verdana"/>
          <w:color w:val="000000" w:themeColor="text1"/>
          <w:sz w:val="20"/>
          <w:szCs w:val="20"/>
        </w:rPr>
      </w:pPr>
    </w:p>
    <w:p w14:paraId="59220EC4" w14:textId="77777777" w:rsidR="00602B31" w:rsidRDefault="00602B31" w:rsidP="00602B31">
      <w:pPr>
        <w:ind w:left="1440" w:hanging="360"/>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14 </w:t>
      </w:r>
      <w:r w:rsidRPr="00CB5C11">
        <w:rPr>
          <w:rFonts w:ascii="Verdana" w:eastAsia="Times New Roman" w:hAnsi="Verdana"/>
          <w:b/>
          <w:bCs/>
          <w:color w:val="000000" w:themeColor="text1"/>
          <w:sz w:val="20"/>
          <w:szCs w:val="20"/>
        </w:rPr>
        <w:t>N</w:t>
      </w:r>
      <w:r w:rsidRPr="00980955">
        <w:rPr>
          <w:rFonts w:ascii="Verdana" w:eastAsia="Times New Roman" w:hAnsi="Verdana"/>
          <w:b/>
          <w:bCs/>
          <w:color w:val="000000" w:themeColor="text1"/>
          <w:sz w:val="20"/>
          <w:szCs w:val="20"/>
        </w:rPr>
        <w:t>egligent supervision.</w:t>
      </w:r>
      <w:r>
        <w:rPr>
          <w:rFonts w:ascii="Verdana" w:eastAsia="Times New Roman" w:hAnsi="Verdana"/>
          <w:b/>
          <w:bCs/>
          <w:color w:val="000000" w:themeColor="text1"/>
          <w:sz w:val="20"/>
          <w:szCs w:val="20"/>
        </w:rPr>
        <w:t xml:space="preserve"> </w:t>
      </w:r>
      <w:r w:rsidRPr="00980955">
        <w:rPr>
          <w:rFonts w:ascii="Verdana" w:eastAsia="Times New Roman" w:hAnsi="Verdana"/>
          <w:color w:val="000000" w:themeColor="text1"/>
          <w:sz w:val="20"/>
          <w:szCs w:val="20"/>
        </w:rPr>
        <w:t>Churches can use reasonable care in selecting workers, but still be liable for injuries sustained during church activities on the basis of n</w:t>
      </w:r>
      <w:r w:rsidRPr="00980955">
        <w:rPr>
          <w:rFonts w:ascii="Verdana" w:eastAsia="Times New Roman" w:hAnsi="Verdana"/>
          <w:i/>
          <w:iCs/>
          <w:color w:val="000000" w:themeColor="text1"/>
          <w:sz w:val="20"/>
          <w:szCs w:val="20"/>
        </w:rPr>
        <w:t>egligent supervision</w:t>
      </w:r>
      <w:r w:rsidRPr="00980955">
        <w:rPr>
          <w:rFonts w:ascii="Verdana" w:eastAsia="Times New Roman" w:hAnsi="Verdana"/>
          <w:color w:val="000000" w:themeColor="text1"/>
          <w:sz w:val="20"/>
          <w:szCs w:val="20"/>
        </w:rPr>
        <w:t xml:space="preserve">. The term </w:t>
      </w:r>
      <w:r w:rsidRPr="00980955">
        <w:rPr>
          <w:rFonts w:ascii="Verdana" w:eastAsia="Times New Roman" w:hAnsi="Verdana"/>
          <w:i/>
          <w:iCs/>
          <w:color w:val="000000" w:themeColor="text1"/>
          <w:sz w:val="20"/>
          <w:szCs w:val="20"/>
        </w:rPr>
        <w:t xml:space="preserve">negligence </w:t>
      </w:r>
      <w:r w:rsidRPr="00980955">
        <w:rPr>
          <w:rFonts w:ascii="Verdana" w:eastAsia="Times New Roman" w:hAnsi="Verdana"/>
          <w:color w:val="000000" w:themeColor="text1"/>
          <w:sz w:val="20"/>
          <w:szCs w:val="20"/>
        </w:rPr>
        <w:t xml:space="preserve">means carelessness or a failure to exercise reasonable care. </w:t>
      </w:r>
      <w:r w:rsidRPr="00980955">
        <w:rPr>
          <w:rFonts w:ascii="Verdana" w:eastAsia="Times New Roman" w:hAnsi="Verdana"/>
          <w:i/>
          <w:iCs/>
          <w:color w:val="000000" w:themeColor="text1"/>
          <w:sz w:val="20"/>
          <w:szCs w:val="20"/>
        </w:rPr>
        <w:t>Negligent supervision</w:t>
      </w:r>
      <w:r w:rsidRPr="00980955">
        <w:rPr>
          <w:rFonts w:ascii="Verdana" w:eastAsia="Times New Roman" w:hAnsi="Verdana"/>
          <w:color w:val="000000" w:themeColor="text1"/>
          <w:sz w:val="20"/>
          <w:szCs w:val="20"/>
        </w:rPr>
        <w:t>, then, refers to a failure to exercise reasonable care in the supervision of church workers and church activities. Churches have been sued on the basis of negligent supervision in a variety of contexts</w:t>
      </w:r>
      <w:r>
        <w:rPr>
          <w:rFonts w:ascii="Verdana" w:eastAsia="Times New Roman" w:hAnsi="Verdana"/>
          <w:color w:val="000000" w:themeColor="text1"/>
          <w:sz w:val="20"/>
          <w:szCs w:val="20"/>
        </w:rPr>
        <w:t>, but most often in child abuse cases. Adequate supervision involves a number of safeguards, including:</w:t>
      </w:r>
    </w:p>
    <w:p w14:paraId="0A9D556A" w14:textId="77777777" w:rsidR="00602B31" w:rsidRDefault="00602B31" w:rsidP="00602B31">
      <w:pPr>
        <w:ind w:left="1440" w:hanging="360"/>
        <w:jc w:val="both"/>
        <w:rPr>
          <w:rFonts w:ascii="Verdana" w:eastAsia="Times New Roman" w:hAnsi="Verdana"/>
          <w:color w:val="000000" w:themeColor="text1"/>
          <w:sz w:val="20"/>
          <w:szCs w:val="20"/>
        </w:rPr>
      </w:pPr>
    </w:p>
    <w:p w14:paraId="50E27FAD"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Lock rooms and hallways that are not being used;</w:t>
      </w:r>
    </w:p>
    <w:p w14:paraId="1C48E438"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Use video technology (see above);</w:t>
      </w:r>
    </w:p>
    <w:p w14:paraId="3368000D"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Have an adequate number of adults present during youth and children’s activities to monitor workers and activities;</w:t>
      </w:r>
    </w:p>
    <w:p w14:paraId="37D6C60B"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Enforce a two-adult policy prohibiting one adult worker from being alone with one minor;</w:t>
      </w:r>
    </w:p>
    <w:p w14:paraId="45786D3C"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No “early releases” of minors;</w:t>
      </w:r>
    </w:p>
    <w:p w14:paraId="38037D73"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Only release minors to the parent or other adult who brought them;</w:t>
      </w:r>
    </w:p>
    <w:p w14:paraId="78F078C5"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Be especially vigilant with off-site activities such as field trips and camping since they present potential opportunities for sexual abuse due to the difficulty of adequate supervision.</w:t>
      </w:r>
    </w:p>
    <w:p w14:paraId="3C560F29" w14:textId="77777777" w:rsidR="00602B31"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Exclude known or registered sex offenders from any youth or children’s activity;</w:t>
      </w:r>
    </w:p>
    <w:p w14:paraId="4C905975" w14:textId="77777777" w:rsidR="00602B31" w:rsidRPr="00EF2965" w:rsidRDefault="00602B31" w:rsidP="00602B31">
      <w:pPr>
        <w:pStyle w:val="ListParagraph"/>
        <w:numPr>
          <w:ilvl w:val="0"/>
          <w:numId w:val="8"/>
        </w:numPr>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In formulating polices, “benchmark” by examining the policies of other charities and the public schools.</w:t>
      </w:r>
    </w:p>
    <w:p w14:paraId="58C4B4DE" w14:textId="77777777" w:rsidR="00602B31" w:rsidRDefault="00602B31" w:rsidP="00602B31">
      <w:pPr>
        <w:widowControl w:val="0"/>
        <w:autoSpaceDE w:val="0"/>
        <w:autoSpaceDN w:val="0"/>
        <w:adjustRightInd w:val="0"/>
        <w:rPr>
          <w:rFonts w:ascii="Verdana" w:eastAsia="Times New Roman" w:hAnsi="Verdana"/>
          <w:b/>
          <w:color w:val="000000" w:themeColor="text1"/>
          <w:sz w:val="20"/>
          <w:szCs w:val="20"/>
        </w:rPr>
      </w:pPr>
    </w:p>
    <w:p w14:paraId="0D5BA0E9" w14:textId="77777777" w:rsidR="00602B31" w:rsidRPr="00B20F2F" w:rsidRDefault="00602B31" w:rsidP="00602B31">
      <w:pPr>
        <w:widowControl w:val="0"/>
        <w:autoSpaceDE w:val="0"/>
        <w:autoSpaceDN w:val="0"/>
        <w:adjustRightInd w:val="0"/>
        <w:rPr>
          <w:rFonts w:ascii="Verdana" w:eastAsia="Times New Roman" w:hAnsi="Verdana"/>
          <w:color w:val="000000" w:themeColor="text1"/>
          <w:sz w:val="20"/>
          <w:szCs w:val="20"/>
        </w:rPr>
      </w:pPr>
      <w:r>
        <w:rPr>
          <w:rFonts w:ascii="Verdana" w:eastAsia="Times New Roman" w:hAnsi="Verdana"/>
          <w:b/>
          <w:color w:val="000000" w:themeColor="text1"/>
          <w:sz w:val="20"/>
          <w:szCs w:val="20"/>
        </w:rPr>
        <w:t>K</w:t>
      </w:r>
      <w:r w:rsidRPr="00B20F2F">
        <w:rPr>
          <w:rFonts w:ascii="Verdana" w:eastAsia="Times New Roman" w:hAnsi="Verdana"/>
          <w:b/>
          <w:color w:val="000000" w:themeColor="text1"/>
          <w:sz w:val="20"/>
          <w:szCs w:val="20"/>
        </w:rPr>
        <w:t>ey point.</w:t>
      </w:r>
      <w:r w:rsidRPr="00B20F2F">
        <w:rPr>
          <w:rFonts w:ascii="Verdana" w:eastAsia="Times New Roman" w:hAnsi="Verdana"/>
          <w:color w:val="000000" w:themeColor="text1"/>
          <w:sz w:val="20"/>
          <w:szCs w:val="20"/>
        </w:rPr>
        <w:t xml:space="preserve"> Look at these </w:t>
      </w:r>
      <w:r>
        <w:rPr>
          <w:rFonts w:ascii="Verdana" w:eastAsia="Times New Roman" w:hAnsi="Verdana"/>
          <w:color w:val="000000" w:themeColor="text1"/>
          <w:sz w:val="20"/>
          <w:szCs w:val="20"/>
        </w:rPr>
        <w:t>14</w:t>
      </w:r>
      <w:r w:rsidRPr="00B20F2F">
        <w:rPr>
          <w:rFonts w:ascii="Verdana" w:eastAsia="Times New Roman" w:hAnsi="Verdana"/>
          <w:color w:val="000000" w:themeColor="text1"/>
          <w:sz w:val="20"/>
          <w:szCs w:val="20"/>
        </w:rPr>
        <w:t xml:space="preserve"> steps as ways to protect </w:t>
      </w:r>
      <w:r>
        <w:rPr>
          <w:rFonts w:ascii="Verdana" w:eastAsia="Times New Roman" w:hAnsi="Verdana"/>
          <w:color w:val="000000" w:themeColor="text1"/>
          <w:sz w:val="20"/>
          <w:szCs w:val="20"/>
        </w:rPr>
        <w:t>minors</w:t>
      </w:r>
      <w:r w:rsidRPr="00B20F2F">
        <w:rPr>
          <w:rFonts w:ascii="Verdana" w:eastAsia="Times New Roman" w:hAnsi="Verdana"/>
          <w:color w:val="000000" w:themeColor="text1"/>
          <w:sz w:val="20"/>
          <w:szCs w:val="20"/>
        </w:rPr>
        <w:t xml:space="preserve"> rather than as a risk </w:t>
      </w:r>
      <w:r>
        <w:rPr>
          <w:rFonts w:ascii="Verdana" w:eastAsia="Times New Roman" w:hAnsi="Verdana"/>
          <w:color w:val="000000" w:themeColor="text1"/>
          <w:sz w:val="20"/>
          <w:szCs w:val="20"/>
        </w:rPr>
        <w:t>m</w:t>
      </w:r>
      <w:r w:rsidRPr="00B20F2F">
        <w:rPr>
          <w:rFonts w:ascii="Verdana" w:eastAsia="Times New Roman" w:hAnsi="Verdana"/>
          <w:color w:val="000000" w:themeColor="text1"/>
          <w:sz w:val="20"/>
          <w:szCs w:val="20"/>
        </w:rPr>
        <w:t xml:space="preserve">anagement tool. If your goal is risk reduction, compliance is likely to </w:t>
      </w:r>
      <w:r>
        <w:rPr>
          <w:rFonts w:ascii="Verdana" w:eastAsia="Times New Roman" w:hAnsi="Verdana"/>
          <w:color w:val="000000" w:themeColor="text1"/>
          <w:sz w:val="20"/>
          <w:szCs w:val="20"/>
        </w:rPr>
        <w:t>suffer</w:t>
      </w:r>
      <w:r w:rsidRPr="00B20F2F">
        <w:rPr>
          <w:rFonts w:ascii="Verdana" w:eastAsia="Times New Roman" w:hAnsi="Verdana"/>
          <w:color w:val="000000" w:themeColor="text1"/>
          <w:sz w:val="20"/>
          <w:szCs w:val="20"/>
        </w:rPr>
        <w:t xml:space="preserve">. Compliance is higher and of longer duration when leaders are motivated primarily by a desire to protect minors. </w:t>
      </w:r>
    </w:p>
    <w:p w14:paraId="0F38D294" w14:textId="77777777" w:rsidR="00602B31" w:rsidRDefault="00602B31" w:rsidP="00602B31">
      <w:pPr>
        <w:widowControl w:val="0"/>
        <w:autoSpaceDE w:val="0"/>
        <w:autoSpaceDN w:val="0"/>
        <w:adjustRightInd w:val="0"/>
        <w:rPr>
          <w:rFonts w:ascii="Verdana" w:eastAsia="Times New Roman" w:hAnsi="Verdana"/>
          <w:color w:val="000000" w:themeColor="text1"/>
          <w:sz w:val="20"/>
          <w:szCs w:val="20"/>
        </w:rPr>
      </w:pPr>
    </w:p>
    <w:p w14:paraId="11F339A1" w14:textId="77777777" w:rsidR="00602B31" w:rsidRPr="00B20F2F" w:rsidRDefault="00602B31" w:rsidP="00602B31">
      <w:pPr>
        <w:rPr>
          <w:rFonts w:ascii="Verdana" w:hAnsi="Verdana"/>
          <w:sz w:val="20"/>
          <w:szCs w:val="20"/>
        </w:rPr>
      </w:pPr>
    </w:p>
    <w:p w14:paraId="11AFB5F2" w14:textId="3AF6A25E" w:rsidR="00C66D50" w:rsidRPr="00C66D50" w:rsidRDefault="00C66D50" w:rsidP="00C66D50">
      <w:pPr>
        <w:widowControl w:val="0"/>
        <w:jc w:val="center"/>
        <w:rPr>
          <w:rFonts w:ascii="Verdana" w:eastAsia="Arial" w:hAnsi="Verdana" w:cs="Arial"/>
          <w:i/>
          <w:iCs/>
          <w:color w:val="000000"/>
          <w:sz w:val="20"/>
          <w:szCs w:val="20"/>
        </w:rPr>
      </w:pPr>
    </w:p>
    <w:sectPr w:rsidR="00C66D50" w:rsidRPr="00C66D50" w:rsidSect="00BC1AC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C5142" w14:textId="77777777" w:rsidR="00DD0880" w:rsidRDefault="00DD0880" w:rsidP="00151A53">
      <w:r>
        <w:separator/>
      </w:r>
    </w:p>
  </w:endnote>
  <w:endnote w:type="continuationSeparator" w:id="0">
    <w:p w14:paraId="5F0731C1" w14:textId="77777777" w:rsidR="00DD0880" w:rsidRDefault="00DD0880" w:rsidP="0015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Narrow-Medium">
    <w:altName w:val="Calibri"/>
    <w:panose1 w:val="020B0604020202020204"/>
    <w:charset w:val="00"/>
    <w:family w:val="auto"/>
    <w:pitch w:val="variable"/>
    <w:sig w:usb0="A00002FF" w:usb1="40000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1229154"/>
      <w:docPartObj>
        <w:docPartGallery w:val="Page Numbers (Bottom of Page)"/>
        <w:docPartUnique/>
      </w:docPartObj>
    </w:sdtPr>
    <w:sdtEndPr>
      <w:rPr>
        <w:rStyle w:val="PageNumber"/>
      </w:rPr>
    </w:sdtEndPr>
    <w:sdtContent>
      <w:p w14:paraId="349A9B30" w14:textId="77777777" w:rsidR="00151A53" w:rsidRDefault="00151A53" w:rsidP="005823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04B4B" w14:textId="77777777" w:rsidR="00151A53" w:rsidRDefault="0015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297378"/>
      <w:docPartObj>
        <w:docPartGallery w:val="Page Numbers (Bottom of Page)"/>
        <w:docPartUnique/>
      </w:docPartObj>
    </w:sdtPr>
    <w:sdtEndPr>
      <w:rPr>
        <w:rStyle w:val="PageNumber"/>
      </w:rPr>
    </w:sdtEndPr>
    <w:sdtContent>
      <w:p w14:paraId="1BF81F7D" w14:textId="77777777" w:rsidR="00151A53" w:rsidRDefault="00151A53" w:rsidP="005823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DCCE83" w14:textId="77777777" w:rsidR="00151A53" w:rsidRDefault="0015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D34D" w14:textId="77777777" w:rsidR="00DD0880" w:rsidRDefault="00DD0880" w:rsidP="00151A53">
      <w:r>
        <w:separator/>
      </w:r>
    </w:p>
  </w:footnote>
  <w:footnote w:type="continuationSeparator" w:id="0">
    <w:p w14:paraId="6032DF7E" w14:textId="77777777" w:rsidR="00DD0880" w:rsidRDefault="00DD0880" w:rsidP="00151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0799"/>
    <w:multiLevelType w:val="hybridMultilevel"/>
    <w:tmpl w:val="C652DB7C"/>
    <w:lvl w:ilvl="0" w:tplc="F6C459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3C76"/>
    <w:multiLevelType w:val="hybridMultilevel"/>
    <w:tmpl w:val="5A16841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EC96699"/>
    <w:multiLevelType w:val="hybridMultilevel"/>
    <w:tmpl w:val="A6C8D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AE79A6"/>
    <w:multiLevelType w:val="hybridMultilevel"/>
    <w:tmpl w:val="5D6667B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4263" w:hanging="360"/>
      </w:pPr>
      <w:rPr>
        <w:rFonts w:ascii="Courier New" w:hAnsi="Courier New" w:cs="Courier New" w:hint="default"/>
      </w:rPr>
    </w:lvl>
    <w:lvl w:ilvl="2" w:tplc="04090005" w:tentative="1">
      <w:start w:val="1"/>
      <w:numFmt w:val="bullet"/>
      <w:lvlText w:val=""/>
      <w:lvlJc w:val="left"/>
      <w:pPr>
        <w:ind w:left="4983" w:hanging="360"/>
      </w:pPr>
      <w:rPr>
        <w:rFonts w:ascii="Wingdings" w:hAnsi="Wingdings" w:hint="default"/>
      </w:rPr>
    </w:lvl>
    <w:lvl w:ilvl="3" w:tplc="04090001" w:tentative="1">
      <w:start w:val="1"/>
      <w:numFmt w:val="bullet"/>
      <w:lvlText w:val=""/>
      <w:lvlJc w:val="left"/>
      <w:pPr>
        <w:ind w:left="5703" w:hanging="360"/>
      </w:pPr>
      <w:rPr>
        <w:rFonts w:ascii="Symbol" w:hAnsi="Symbol" w:hint="default"/>
      </w:rPr>
    </w:lvl>
    <w:lvl w:ilvl="4" w:tplc="04090003" w:tentative="1">
      <w:start w:val="1"/>
      <w:numFmt w:val="bullet"/>
      <w:lvlText w:val="o"/>
      <w:lvlJc w:val="left"/>
      <w:pPr>
        <w:ind w:left="6423" w:hanging="360"/>
      </w:pPr>
      <w:rPr>
        <w:rFonts w:ascii="Courier New" w:hAnsi="Courier New" w:cs="Courier New" w:hint="default"/>
      </w:rPr>
    </w:lvl>
    <w:lvl w:ilvl="5" w:tplc="04090005" w:tentative="1">
      <w:start w:val="1"/>
      <w:numFmt w:val="bullet"/>
      <w:lvlText w:val=""/>
      <w:lvlJc w:val="left"/>
      <w:pPr>
        <w:ind w:left="7143" w:hanging="360"/>
      </w:pPr>
      <w:rPr>
        <w:rFonts w:ascii="Wingdings" w:hAnsi="Wingdings" w:hint="default"/>
      </w:rPr>
    </w:lvl>
    <w:lvl w:ilvl="6" w:tplc="04090001" w:tentative="1">
      <w:start w:val="1"/>
      <w:numFmt w:val="bullet"/>
      <w:lvlText w:val=""/>
      <w:lvlJc w:val="left"/>
      <w:pPr>
        <w:ind w:left="7863" w:hanging="360"/>
      </w:pPr>
      <w:rPr>
        <w:rFonts w:ascii="Symbol" w:hAnsi="Symbol" w:hint="default"/>
      </w:rPr>
    </w:lvl>
    <w:lvl w:ilvl="7" w:tplc="04090003" w:tentative="1">
      <w:start w:val="1"/>
      <w:numFmt w:val="bullet"/>
      <w:lvlText w:val="o"/>
      <w:lvlJc w:val="left"/>
      <w:pPr>
        <w:ind w:left="8583" w:hanging="360"/>
      </w:pPr>
      <w:rPr>
        <w:rFonts w:ascii="Courier New" w:hAnsi="Courier New" w:cs="Courier New" w:hint="default"/>
      </w:rPr>
    </w:lvl>
    <w:lvl w:ilvl="8" w:tplc="04090005" w:tentative="1">
      <w:start w:val="1"/>
      <w:numFmt w:val="bullet"/>
      <w:lvlText w:val=""/>
      <w:lvlJc w:val="left"/>
      <w:pPr>
        <w:ind w:left="9303" w:hanging="360"/>
      </w:pPr>
      <w:rPr>
        <w:rFonts w:ascii="Wingdings" w:hAnsi="Wingdings" w:hint="default"/>
      </w:rPr>
    </w:lvl>
  </w:abstractNum>
  <w:abstractNum w:abstractNumId="4" w15:restartNumberingAfterBreak="0">
    <w:nsid w:val="63451F0F"/>
    <w:multiLevelType w:val="hybridMultilevel"/>
    <w:tmpl w:val="A8544E0C"/>
    <w:lvl w:ilvl="0" w:tplc="53B8159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0579B7"/>
    <w:multiLevelType w:val="hybridMultilevel"/>
    <w:tmpl w:val="7F2671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697B5FC7"/>
    <w:multiLevelType w:val="hybridMultilevel"/>
    <w:tmpl w:val="210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2C19"/>
    <w:multiLevelType w:val="hybridMultilevel"/>
    <w:tmpl w:val="E21014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zYyMjQwMjIzMDRT0lEKTi0uzszPAykwrAUAahg6QCwAAAA="/>
  </w:docVars>
  <w:rsids>
    <w:rsidRoot w:val="00151A53"/>
    <w:rsid w:val="00007A3D"/>
    <w:rsid w:val="00021ECE"/>
    <w:rsid w:val="00025927"/>
    <w:rsid w:val="00057EBA"/>
    <w:rsid w:val="000771E1"/>
    <w:rsid w:val="00085878"/>
    <w:rsid w:val="000E26CC"/>
    <w:rsid w:val="00151A53"/>
    <w:rsid w:val="001C49BF"/>
    <w:rsid w:val="001E3362"/>
    <w:rsid w:val="001F03DD"/>
    <w:rsid w:val="00225032"/>
    <w:rsid w:val="00253740"/>
    <w:rsid w:val="0027026E"/>
    <w:rsid w:val="00281D54"/>
    <w:rsid w:val="002855EE"/>
    <w:rsid w:val="002A1D7B"/>
    <w:rsid w:val="002D0DE4"/>
    <w:rsid w:val="00301955"/>
    <w:rsid w:val="00326887"/>
    <w:rsid w:val="003515E1"/>
    <w:rsid w:val="003539B7"/>
    <w:rsid w:val="0037271F"/>
    <w:rsid w:val="003833F9"/>
    <w:rsid w:val="003A301A"/>
    <w:rsid w:val="003B1E5D"/>
    <w:rsid w:val="00413008"/>
    <w:rsid w:val="00455EAC"/>
    <w:rsid w:val="00483412"/>
    <w:rsid w:val="004D38EF"/>
    <w:rsid w:val="00514D31"/>
    <w:rsid w:val="0053224E"/>
    <w:rsid w:val="00557C9D"/>
    <w:rsid w:val="00571F6F"/>
    <w:rsid w:val="0059030C"/>
    <w:rsid w:val="005A2EF7"/>
    <w:rsid w:val="00602B31"/>
    <w:rsid w:val="00670C55"/>
    <w:rsid w:val="00673F86"/>
    <w:rsid w:val="00674039"/>
    <w:rsid w:val="006B49E6"/>
    <w:rsid w:val="006C3F22"/>
    <w:rsid w:val="006E2B4F"/>
    <w:rsid w:val="0071563D"/>
    <w:rsid w:val="0072238F"/>
    <w:rsid w:val="007779E2"/>
    <w:rsid w:val="007C56D0"/>
    <w:rsid w:val="007D343C"/>
    <w:rsid w:val="008425DA"/>
    <w:rsid w:val="008566FD"/>
    <w:rsid w:val="008576D8"/>
    <w:rsid w:val="008833B3"/>
    <w:rsid w:val="008A770E"/>
    <w:rsid w:val="008C1B9C"/>
    <w:rsid w:val="0090375D"/>
    <w:rsid w:val="00915F1C"/>
    <w:rsid w:val="00945E45"/>
    <w:rsid w:val="00980955"/>
    <w:rsid w:val="009A3351"/>
    <w:rsid w:val="009B7963"/>
    <w:rsid w:val="009E337A"/>
    <w:rsid w:val="009F08B2"/>
    <w:rsid w:val="009F5C18"/>
    <w:rsid w:val="009F694E"/>
    <w:rsid w:val="00A14A20"/>
    <w:rsid w:val="00A173D6"/>
    <w:rsid w:val="00A205AC"/>
    <w:rsid w:val="00A2624D"/>
    <w:rsid w:val="00A26737"/>
    <w:rsid w:val="00A561B7"/>
    <w:rsid w:val="00AC66C7"/>
    <w:rsid w:val="00AD5CAC"/>
    <w:rsid w:val="00AE3769"/>
    <w:rsid w:val="00B0063E"/>
    <w:rsid w:val="00B04827"/>
    <w:rsid w:val="00B20F2F"/>
    <w:rsid w:val="00B23429"/>
    <w:rsid w:val="00BC1ACF"/>
    <w:rsid w:val="00C11221"/>
    <w:rsid w:val="00C66D50"/>
    <w:rsid w:val="00CD382B"/>
    <w:rsid w:val="00CD53CE"/>
    <w:rsid w:val="00CF30DA"/>
    <w:rsid w:val="00D02793"/>
    <w:rsid w:val="00D15F10"/>
    <w:rsid w:val="00D17E65"/>
    <w:rsid w:val="00D95FDE"/>
    <w:rsid w:val="00DA0050"/>
    <w:rsid w:val="00DD0880"/>
    <w:rsid w:val="00E0700C"/>
    <w:rsid w:val="00E863A1"/>
    <w:rsid w:val="00EC6CE4"/>
    <w:rsid w:val="00EE2F21"/>
    <w:rsid w:val="00EF2965"/>
    <w:rsid w:val="00F419C9"/>
    <w:rsid w:val="00F75BFB"/>
    <w:rsid w:val="00FA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3D22"/>
  <w15:chartTrackingRefBased/>
  <w15:docId w15:val="{7D6F6323-9DDC-5B49-B376-A34C22C8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53"/>
    <w:rPr>
      <w:rFonts w:ascii="Cambria" w:eastAsia="MS Mincho" w:hAnsi="Cambria" w:cs="Times New Roman"/>
      <w:sz w:val="24"/>
    </w:rPr>
  </w:style>
  <w:style w:type="paragraph" w:styleId="Heading2">
    <w:name w:val="heading 2"/>
    <w:basedOn w:val="Normal"/>
    <w:next w:val="Normal"/>
    <w:link w:val="Heading2Char"/>
    <w:uiPriority w:val="9"/>
    <w:unhideWhenUsed/>
    <w:qFormat/>
    <w:rsid w:val="00151A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A53"/>
    <w:rPr>
      <w:rFonts w:asciiTheme="majorHAnsi" w:eastAsiaTheme="majorEastAsia" w:hAnsiTheme="majorHAnsi" w:cstheme="majorBidi"/>
      <w:color w:val="2F5496" w:themeColor="accent1" w:themeShade="BF"/>
      <w:sz w:val="26"/>
      <w:szCs w:val="26"/>
    </w:rPr>
  </w:style>
  <w:style w:type="paragraph" w:customStyle="1" w:styleId="Heading-TopicSubhead2NumberedHeading">
    <w:name w:val="Heading - Topic Subhead 2 Numbered (Heading)"/>
    <w:basedOn w:val="Normal"/>
    <w:uiPriority w:val="99"/>
    <w:rsid w:val="00151A53"/>
    <w:pPr>
      <w:keepNext/>
      <w:keepLines/>
      <w:widowControl w:val="0"/>
      <w:suppressAutoHyphens/>
      <w:autoSpaceDE w:val="0"/>
      <w:autoSpaceDN w:val="0"/>
      <w:adjustRightInd w:val="0"/>
      <w:spacing w:line="240" w:lineRule="atLeast"/>
      <w:ind w:left="540" w:hanging="90"/>
      <w:textAlignment w:val="center"/>
    </w:pPr>
    <w:rPr>
      <w:rFonts w:ascii="GothamNarrow-Medium" w:eastAsiaTheme="minorEastAsia" w:hAnsi="GothamNarrow-Medium" w:cs="GothamNarrow-Medium"/>
      <w:color w:val="000000"/>
      <w:sz w:val="20"/>
      <w:szCs w:val="20"/>
    </w:rPr>
  </w:style>
  <w:style w:type="paragraph" w:styleId="ListParagraph">
    <w:name w:val="List Paragraph"/>
    <w:basedOn w:val="Normal"/>
    <w:uiPriority w:val="34"/>
    <w:qFormat/>
    <w:rsid w:val="00151A53"/>
    <w:pPr>
      <w:ind w:left="720"/>
      <w:contextualSpacing/>
    </w:pPr>
  </w:style>
  <w:style w:type="paragraph" w:styleId="Footer">
    <w:name w:val="footer"/>
    <w:basedOn w:val="Normal"/>
    <w:link w:val="FooterChar"/>
    <w:uiPriority w:val="99"/>
    <w:unhideWhenUsed/>
    <w:rsid w:val="00151A53"/>
    <w:pPr>
      <w:tabs>
        <w:tab w:val="center" w:pos="4680"/>
        <w:tab w:val="right" w:pos="9360"/>
      </w:tabs>
    </w:pPr>
  </w:style>
  <w:style w:type="character" w:customStyle="1" w:styleId="FooterChar">
    <w:name w:val="Footer Char"/>
    <w:basedOn w:val="DefaultParagraphFont"/>
    <w:link w:val="Footer"/>
    <w:uiPriority w:val="99"/>
    <w:rsid w:val="00151A53"/>
    <w:rPr>
      <w:rFonts w:ascii="Cambria" w:eastAsia="MS Mincho" w:hAnsi="Cambria" w:cs="Times New Roman"/>
      <w:sz w:val="24"/>
    </w:rPr>
  </w:style>
  <w:style w:type="character" w:styleId="PageNumber">
    <w:name w:val="page number"/>
    <w:basedOn w:val="DefaultParagraphFont"/>
    <w:uiPriority w:val="99"/>
    <w:semiHidden/>
    <w:unhideWhenUsed/>
    <w:rsid w:val="00151A53"/>
  </w:style>
  <w:style w:type="paragraph" w:styleId="Header">
    <w:name w:val="header"/>
    <w:basedOn w:val="Normal"/>
    <w:link w:val="HeaderChar"/>
    <w:uiPriority w:val="99"/>
    <w:unhideWhenUsed/>
    <w:rsid w:val="00C66D50"/>
    <w:pPr>
      <w:tabs>
        <w:tab w:val="center" w:pos="4680"/>
        <w:tab w:val="right" w:pos="9360"/>
      </w:tabs>
    </w:pPr>
  </w:style>
  <w:style w:type="character" w:customStyle="1" w:styleId="HeaderChar">
    <w:name w:val="Header Char"/>
    <w:basedOn w:val="DefaultParagraphFont"/>
    <w:link w:val="Header"/>
    <w:uiPriority w:val="99"/>
    <w:rsid w:val="00C66D50"/>
    <w:rPr>
      <w:rFonts w:ascii="Cambria" w:eastAsia="MS Mincho" w:hAnsi="Cambria" w:cs="Times New Roman"/>
      <w:sz w:val="24"/>
    </w:rPr>
  </w:style>
  <w:style w:type="paragraph" w:styleId="BalloonText">
    <w:name w:val="Balloon Text"/>
    <w:basedOn w:val="Normal"/>
    <w:link w:val="BalloonTextChar"/>
    <w:uiPriority w:val="99"/>
    <w:semiHidden/>
    <w:unhideWhenUsed/>
    <w:rsid w:val="009E3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7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 Richard</dc:creator>
  <cp:keywords/>
  <dc:description/>
  <cp:lastModifiedBy>Hammar, Richard</cp:lastModifiedBy>
  <cp:revision>2</cp:revision>
  <cp:lastPrinted>2020-11-04T21:52:00Z</cp:lastPrinted>
  <dcterms:created xsi:type="dcterms:W3CDTF">2021-06-03T20:17:00Z</dcterms:created>
  <dcterms:modified xsi:type="dcterms:W3CDTF">2021-06-03T20:17:00Z</dcterms:modified>
</cp:coreProperties>
</file>